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41A4E" w14:textId="77777777" w:rsidR="00C96C04" w:rsidRPr="00C96C04" w:rsidRDefault="004129B9" w:rsidP="004129B9">
      <w:pPr>
        <w:keepNext/>
        <w:keepLines/>
        <w:pBdr>
          <w:top w:val="single" w:sz="12" w:space="3" w:color="000000"/>
          <w:left w:val="nil"/>
          <w:bottom w:val="nil"/>
          <w:right w:val="nil"/>
          <w:between w:val="nil"/>
        </w:pBdr>
        <w:spacing w:before="240"/>
        <w:jc w:val="center"/>
        <w:rPr>
          <w:rFonts w:ascii="Arial" w:eastAsia="Arial" w:hAnsi="Arial" w:cs="Arial"/>
          <w:sz w:val="36"/>
          <w:szCs w:val="36"/>
        </w:rPr>
      </w:pPr>
      <w:r w:rsidRPr="004129B9">
        <w:rPr>
          <w:rFonts w:ascii="Arial" w:eastAsia="Arial" w:hAnsi="Arial" w:cs="Arial"/>
          <w:sz w:val="36"/>
          <w:szCs w:val="36"/>
        </w:rPr>
        <w:t>Network resource allocation for Gaming using MEC BandWidth Man</w:t>
      </w:r>
      <w:r>
        <w:rPr>
          <w:rFonts w:ascii="Arial" w:eastAsia="Arial" w:hAnsi="Arial" w:cs="Arial"/>
          <w:sz w:val="36"/>
          <w:szCs w:val="36"/>
        </w:rPr>
        <w:t>agement service and TeraFlowSDN</w:t>
      </w:r>
      <w:bookmarkStart w:id="0" w:name="_heading=h.gjdgxs" w:colFirst="0" w:colLast="0"/>
      <w:bookmarkEnd w:id="0"/>
    </w:p>
    <w:p w14:paraId="44241A4F" w14:textId="77777777" w:rsidR="00FC73DE" w:rsidRDefault="00376A12" w:rsidP="00C96C04">
      <w:pPr>
        <w:pStyle w:val="Heading1"/>
        <w:pBdr>
          <w:top w:val="single" w:sz="12" w:space="11" w:color="auto"/>
        </w:pBdr>
      </w:pPr>
      <w:r>
        <w:t>1</w:t>
      </w:r>
      <w:r>
        <w:tab/>
        <w:t>PoC Project Details</w:t>
      </w:r>
    </w:p>
    <w:p w14:paraId="44241A50" w14:textId="77777777" w:rsidR="00FC73DE" w:rsidRDefault="00376A12">
      <w:pPr>
        <w:pStyle w:val="Heading2"/>
      </w:pPr>
      <w:bookmarkStart w:id="1" w:name="_heading=h.30j0zll" w:colFirst="0" w:colLast="0"/>
      <w:bookmarkEnd w:id="1"/>
      <w:r>
        <w:t>1.1</w:t>
      </w:r>
      <w:r>
        <w:tab/>
        <w:t>PoC Project</w:t>
      </w:r>
    </w:p>
    <w:p w14:paraId="44241A51" w14:textId="77777777" w:rsidR="00FC73DE" w:rsidRDefault="00376A12">
      <w:r>
        <w:t>PoC Number (assigned by ETSI):</w:t>
      </w:r>
      <w:r w:rsidR="004129B9">
        <w:t xml:space="preserve"> </w:t>
      </w:r>
    </w:p>
    <w:p w14:paraId="44241A52" w14:textId="77777777" w:rsidR="00FC73DE" w:rsidRDefault="00376A12">
      <w:r>
        <w:t xml:space="preserve">PoC Project Name: </w:t>
      </w:r>
      <w:r w:rsidRPr="004129B9">
        <w:rPr>
          <w:b/>
        </w:rPr>
        <w:t>Network resource allocation for Gaming using MEC BandWidth Management service and TeraFlowSDN</w:t>
      </w:r>
      <w:r w:rsidR="005943AB" w:rsidRPr="004129B9">
        <w:rPr>
          <w:b/>
        </w:rPr>
        <w:t>.</w:t>
      </w:r>
    </w:p>
    <w:p w14:paraId="44241A53" w14:textId="77777777" w:rsidR="00FC73DE" w:rsidRDefault="00376A12">
      <w:r>
        <w:t xml:space="preserve">PoC Project Host: </w:t>
      </w:r>
      <w:r w:rsidRPr="004129B9">
        <w:rPr>
          <w:b/>
        </w:rPr>
        <w:t>CTTC</w:t>
      </w:r>
    </w:p>
    <w:p w14:paraId="44241A54" w14:textId="77777777" w:rsidR="00FC73DE" w:rsidRDefault="00730705">
      <w:r>
        <w:t>Short Description:</w:t>
      </w:r>
    </w:p>
    <w:p w14:paraId="44241A55" w14:textId="792DA1CD" w:rsidR="00FC73DE" w:rsidRDefault="00376A12">
      <w:pPr>
        <w:jc w:val="both"/>
      </w:pPr>
      <w:r>
        <w:t>MEC BandWidth Management (BWM) service and TeraFlowSDN can be used to provide dedicated resources for network resource allocation for Gaming. BWM allows applications to allocate specific amounts of bandwidth to gaming applications, while TeraFlowSDN provides a way to manage and control traffic flows. This can help to ensure that gaming traffic has priority over other traffic, which can improve the gaming experience for users.</w:t>
      </w:r>
      <w:r w:rsidR="00395777">
        <w:t xml:space="preserve"> The tests of this compute-network interface can also be interesting for upcoming 6G networks.</w:t>
      </w:r>
    </w:p>
    <w:p w14:paraId="44241A56" w14:textId="77777777" w:rsidR="00FC73DE" w:rsidRDefault="00FC73DE"/>
    <w:p w14:paraId="44241A57" w14:textId="77777777" w:rsidR="00FC73DE" w:rsidRDefault="00376A12">
      <w:pPr>
        <w:pStyle w:val="Heading2"/>
      </w:pPr>
      <w:bookmarkStart w:id="2" w:name="_heading=h.1fob9te" w:colFirst="0" w:colLast="0"/>
      <w:bookmarkEnd w:id="2"/>
      <w:r>
        <w:t>1.2</w:t>
      </w:r>
      <w:r>
        <w:tab/>
        <w:t>PoC Team Members</w:t>
      </w:r>
    </w:p>
    <w:tbl>
      <w:tblPr>
        <w:tblStyle w:val="a"/>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2025"/>
        <w:gridCol w:w="1050"/>
        <w:gridCol w:w="2310"/>
        <w:gridCol w:w="1005"/>
        <w:gridCol w:w="1275"/>
        <w:gridCol w:w="1665"/>
      </w:tblGrid>
      <w:tr w:rsidR="00FC73DE" w14:paraId="44241A61" w14:textId="77777777">
        <w:trPr>
          <w:trHeight w:val="717"/>
          <w:jc w:val="center"/>
        </w:trPr>
        <w:tc>
          <w:tcPr>
            <w:tcW w:w="420" w:type="dxa"/>
            <w:shd w:val="clear" w:color="auto" w:fill="D9D9D9"/>
            <w:vAlign w:val="center"/>
          </w:tcPr>
          <w:p w14:paraId="44241A58" w14:textId="77777777" w:rsidR="00FC73DE" w:rsidRDefault="00FC73DE">
            <w:pPr>
              <w:keepNext/>
              <w:keepLines/>
              <w:pBdr>
                <w:top w:val="nil"/>
                <w:left w:val="nil"/>
                <w:bottom w:val="nil"/>
                <w:right w:val="nil"/>
                <w:between w:val="nil"/>
              </w:pBdr>
              <w:spacing w:after="0"/>
              <w:jc w:val="center"/>
              <w:rPr>
                <w:rFonts w:ascii="Arial" w:eastAsia="Arial" w:hAnsi="Arial" w:cs="Arial"/>
                <w:b/>
                <w:color w:val="000000"/>
                <w:sz w:val="18"/>
                <w:szCs w:val="18"/>
              </w:rPr>
            </w:pPr>
          </w:p>
        </w:tc>
        <w:tc>
          <w:tcPr>
            <w:tcW w:w="2025" w:type="dxa"/>
            <w:shd w:val="clear" w:color="auto" w:fill="D9D9D9"/>
            <w:vAlign w:val="center"/>
          </w:tcPr>
          <w:p w14:paraId="44241A59"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Organisation name</w:t>
            </w:r>
          </w:p>
        </w:tc>
        <w:tc>
          <w:tcPr>
            <w:tcW w:w="1050" w:type="dxa"/>
            <w:shd w:val="clear" w:color="auto" w:fill="D9D9D9"/>
            <w:vAlign w:val="center"/>
          </w:tcPr>
          <w:p w14:paraId="44241A5A"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ISG MEC participant</w:t>
            </w:r>
          </w:p>
          <w:p w14:paraId="44241A5B"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(yes/no)</w:t>
            </w:r>
          </w:p>
        </w:tc>
        <w:tc>
          <w:tcPr>
            <w:tcW w:w="2310" w:type="dxa"/>
            <w:shd w:val="clear" w:color="auto" w:fill="D9D9D9"/>
            <w:vAlign w:val="center"/>
          </w:tcPr>
          <w:p w14:paraId="44241A5C"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Contact (Email)</w:t>
            </w:r>
          </w:p>
        </w:tc>
        <w:tc>
          <w:tcPr>
            <w:tcW w:w="1005" w:type="dxa"/>
            <w:shd w:val="clear" w:color="auto" w:fill="D9D9D9"/>
            <w:vAlign w:val="center"/>
          </w:tcPr>
          <w:p w14:paraId="44241A5D"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PoC Point of Contact</w:t>
            </w:r>
          </w:p>
          <w:p w14:paraId="44241A5E"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t>
            </w:r>
          </w:p>
        </w:tc>
        <w:tc>
          <w:tcPr>
            <w:tcW w:w="1275" w:type="dxa"/>
            <w:shd w:val="clear" w:color="auto" w:fill="D9D9D9"/>
            <w:vAlign w:val="center"/>
          </w:tcPr>
          <w:p w14:paraId="44241A5F"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Role (**)</w:t>
            </w:r>
          </w:p>
        </w:tc>
        <w:tc>
          <w:tcPr>
            <w:tcW w:w="1665" w:type="dxa"/>
            <w:shd w:val="clear" w:color="auto" w:fill="D9D9D9"/>
            <w:vAlign w:val="center"/>
          </w:tcPr>
          <w:p w14:paraId="44241A60"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PoC Components</w:t>
            </w:r>
          </w:p>
        </w:tc>
      </w:tr>
      <w:tr w:rsidR="00FC73DE" w14:paraId="44241A6A" w14:textId="77777777">
        <w:trPr>
          <w:trHeight w:val="169"/>
          <w:jc w:val="center"/>
        </w:trPr>
        <w:tc>
          <w:tcPr>
            <w:tcW w:w="420" w:type="dxa"/>
            <w:shd w:val="clear" w:color="auto" w:fill="auto"/>
            <w:vAlign w:val="center"/>
          </w:tcPr>
          <w:p w14:paraId="44241A62"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1</w:t>
            </w:r>
          </w:p>
        </w:tc>
        <w:tc>
          <w:tcPr>
            <w:tcW w:w="2025" w:type="dxa"/>
            <w:shd w:val="clear" w:color="auto" w:fill="auto"/>
            <w:vAlign w:val="center"/>
          </w:tcPr>
          <w:p w14:paraId="44241A63"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CTTC</w:t>
            </w:r>
          </w:p>
        </w:tc>
        <w:tc>
          <w:tcPr>
            <w:tcW w:w="1050" w:type="dxa"/>
          </w:tcPr>
          <w:p w14:paraId="44241A64"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YES</w:t>
            </w:r>
          </w:p>
        </w:tc>
        <w:tc>
          <w:tcPr>
            <w:tcW w:w="2310" w:type="dxa"/>
          </w:tcPr>
          <w:p w14:paraId="44241A65" w14:textId="77777777" w:rsidR="00FC73DE" w:rsidRDefault="00D3620C">
            <w:pPr>
              <w:keepNext/>
              <w:keepLines/>
              <w:pBdr>
                <w:top w:val="nil"/>
                <w:left w:val="nil"/>
                <w:bottom w:val="nil"/>
                <w:right w:val="nil"/>
                <w:between w:val="nil"/>
              </w:pBdr>
              <w:spacing w:after="0"/>
              <w:rPr>
                <w:rFonts w:ascii="Arial" w:eastAsia="Arial" w:hAnsi="Arial" w:cs="Arial"/>
                <w:color w:val="000000"/>
                <w:sz w:val="18"/>
                <w:szCs w:val="18"/>
              </w:rPr>
            </w:pPr>
            <w:hyperlink r:id="rId8">
              <w:r w:rsidR="00376A12">
                <w:rPr>
                  <w:rFonts w:ascii="Arial" w:eastAsia="Arial" w:hAnsi="Arial" w:cs="Arial"/>
                  <w:color w:val="0563C1"/>
                  <w:sz w:val="18"/>
                  <w:szCs w:val="18"/>
                  <w:u w:val="single"/>
                </w:rPr>
                <w:t>ricard.vilalta@cttc.es</w:t>
              </w:r>
            </w:hyperlink>
          </w:p>
        </w:tc>
        <w:tc>
          <w:tcPr>
            <w:tcW w:w="1005" w:type="dxa"/>
          </w:tcPr>
          <w:p w14:paraId="44241A66"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X</w:t>
            </w:r>
          </w:p>
        </w:tc>
        <w:tc>
          <w:tcPr>
            <w:tcW w:w="1275" w:type="dxa"/>
            <w:shd w:val="clear" w:color="auto" w:fill="auto"/>
            <w:vAlign w:val="center"/>
          </w:tcPr>
          <w:p w14:paraId="44241A67"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Infrastructure provider</w:t>
            </w:r>
          </w:p>
        </w:tc>
        <w:tc>
          <w:tcPr>
            <w:tcW w:w="1665" w:type="dxa"/>
            <w:shd w:val="clear" w:color="auto" w:fill="auto"/>
            <w:vAlign w:val="center"/>
          </w:tcPr>
          <w:p w14:paraId="44241A68"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TeraFlowSDN</w:t>
            </w:r>
          </w:p>
          <w:p w14:paraId="44241A69"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Edge routers and servers</w:t>
            </w:r>
          </w:p>
        </w:tc>
      </w:tr>
      <w:tr w:rsidR="00FC73DE" w14:paraId="44241A72" w14:textId="77777777">
        <w:trPr>
          <w:trHeight w:val="182"/>
          <w:jc w:val="center"/>
        </w:trPr>
        <w:tc>
          <w:tcPr>
            <w:tcW w:w="420" w:type="dxa"/>
            <w:shd w:val="clear" w:color="auto" w:fill="auto"/>
            <w:vAlign w:val="center"/>
          </w:tcPr>
          <w:p w14:paraId="44241A6B"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2</w:t>
            </w:r>
          </w:p>
        </w:tc>
        <w:tc>
          <w:tcPr>
            <w:tcW w:w="2025" w:type="dxa"/>
            <w:shd w:val="clear" w:color="auto" w:fill="auto"/>
            <w:vAlign w:val="center"/>
          </w:tcPr>
          <w:p w14:paraId="44241A6C"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xFlow</w:t>
            </w:r>
          </w:p>
        </w:tc>
        <w:tc>
          <w:tcPr>
            <w:tcW w:w="1050" w:type="dxa"/>
          </w:tcPr>
          <w:p w14:paraId="44241A6D"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YES</w:t>
            </w:r>
          </w:p>
        </w:tc>
        <w:tc>
          <w:tcPr>
            <w:tcW w:w="2310" w:type="dxa"/>
          </w:tcPr>
          <w:p w14:paraId="44241A6E"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563C1"/>
                <w:sz w:val="18"/>
                <w:szCs w:val="18"/>
                <w:u w:val="single"/>
              </w:rPr>
              <w:t>muhammad.hamza@xflowresearch.com</w:t>
            </w:r>
          </w:p>
        </w:tc>
        <w:tc>
          <w:tcPr>
            <w:tcW w:w="1005" w:type="dxa"/>
          </w:tcPr>
          <w:p w14:paraId="44241A6F" w14:textId="77777777" w:rsidR="00FC73DE" w:rsidRDefault="00376A12">
            <w:pPr>
              <w:keepNext/>
              <w:keepLines/>
              <w:spacing w:after="0"/>
              <w:rPr>
                <w:rFonts w:ascii="Arial" w:eastAsia="Arial" w:hAnsi="Arial" w:cs="Arial"/>
                <w:color w:val="000000"/>
                <w:sz w:val="18"/>
                <w:szCs w:val="18"/>
              </w:rPr>
            </w:pPr>
            <w:r>
              <w:rPr>
                <w:rFonts w:ascii="Arial" w:eastAsia="Arial" w:hAnsi="Arial" w:cs="Arial"/>
                <w:sz w:val="18"/>
                <w:szCs w:val="18"/>
              </w:rPr>
              <w:t>X</w:t>
            </w:r>
          </w:p>
        </w:tc>
        <w:tc>
          <w:tcPr>
            <w:tcW w:w="1275" w:type="dxa"/>
            <w:shd w:val="clear" w:color="auto" w:fill="auto"/>
            <w:vAlign w:val="center"/>
          </w:tcPr>
          <w:p w14:paraId="44241A70"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Aplication provider</w:t>
            </w:r>
          </w:p>
        </w:tc>
        <w:tc>
          <w:tcPr>
            <w:tcW w:w="1665" w:type="dxa"/>
            <w:shd w:val="clear" w:color="auto" w:fill="auto"/>
            <w:vAlign w:val="center"/>
          </w:tcPr>
          <w:p w14:paraId="44241A71"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w:t>
            </w:r>
          </w:p>
        </w:tc>
      </w:tr>
      <w:tr w:rsidR="00FC73DE" w14:paraId="44241A7A" w14:textId="77777777">
        <w:trPr>
          <w:trHeight w:val="169"/>
          <w:jc w:val="center"/>
        </w:trPr>
        <w:tc>
          <w:tcPr>
            <w:tcW w:w="420" w:type="dxa"/>
            <w:shd w:val="clear" w:color="auto" w:fill="auto"/>
            <w:vAlign w:val="center"/>
          </w:tcPr>
          <w:p w14:paraId="44241A73"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3</w:t>
            </w:r>
          </w:p>
        </w:tc>
        <w:tc>
          <w:tcPr>
            <w:tcW w:w="2025" w:type="dxa"/>
            <w:shd w:val="clear" w:color="auto" w:fill="auto"/>
            <w:vAlign w:val="center"/>
          </w:tcPr>
          <w:p w14:paraId="44241A74"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Telefónica</w:t>
            </w:r>
          </w:p>
        </w:tc>
        <w:tc>
          <w:tcPr>
            <w:tcW w:w="1050" w:type="dxa"/>
          </w:tcPr>
          <w:p w14:paraId="44241A75"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YES</w:t>
            </w:r>
          </w:p>
        </w:tc>
        <w:tc>
          <w:tcPr>
            <w:tcW w:w="2310" w:type="dxa"/>
          </w:tcPr>
          <w:p w14:paraId="2934BDE5" w14:textId="1DC5E2BD" w:rsidR="00FC73DE" w:rsidRDefault="00D3620C">
            <w:pPr>
              <w:keepNext/>
              <w:keepLines/>
              <w:pBdr>
                <w:top w:val="nil"/>
                <w:left w:val="nil"/>
                <w:bottom w:val="nil"/>
                <w:right w:val="nil"/>
                <w:between w:val="nil"/>
              </w:pBdr>
              <w:spacing w:after="0"/>
              <w:rPr>
                <w:rFonts w:ascii="Arial" w:eastAsia="Arial" w:hAnsi="Arial" w:cs="Arial"/>
                <w:color w:val="000000"/>
                <w:sz w:val="18"/>
                <w:szCs w:val="18"/>
              </w:rPr>
            </w:pPr>
            <w:hyperlink r:id="rId9" w:history="1">
              <w:r w:rsidR="00202929" w:rsidRPr="006445DD">
                <w:rPr>
                  <w:rStyle w:val="Hyperlink"/>
                  <w:rFonts w:ascii="Arial" w:eastAsia="Arial" w:hAnsi="Arial" w:cs="Arial"/>
                  <w:sz w:val="18"/>
                  <w:szCs w:val="18"/>
                </w:rPr>
                <w:t>diego.r.lopez@telefonica.com</w:t>
              </w:r>
            </w:hyperlink>
          </w:p>
          <w:p w14:paraId="44241A76" w14:textId="05BCF819" w:rsidR="00202929" w:rsidRDefault="00D3620C">
            <w:pPr>
              <w:keepNext/>
              <w:keepLines/>
              <w:pBdr>
                <w:top w:val="nil"/>
                <w:left w:val="nil"/>
                <w:bottom w:val="nil"/>
                <w:right w:val="nil"/>
                <w:between w:val="nil"/>
              </w:pBdr>
              <w:spacing w:after="0"/>
              <w:rPr>
                <w:rFonts w:ascii="Arial" w:eastAsia="Arial" w:hAnsi="Arial" w:cs="Arial"/>
                <w:color w:val="000000"/>
                <w:sz w:val="18"/>
                <w:szCs w:val="18"/>
              </w:rPr>
            </w:pPr>
            <w:hyperlink r:id="rId10" w:history="1">
              <w:r w:rsidR="00202929" w:rsidRPr="006445DD">
                <w:rPr>
                  <w:rStyle w:val="Hyperlink"/>
                  <w:rFonts w:ascii="Arial" w:eastAsia="Arial" w:hAnsi="Arial" w:cs="Arial"/>
                  <w:sz w:val="18"/>
                  <w:szCs w:val="18"/>
                </w:rPr>
                <w:t>joseantonio.ordonezlucena@telefonica.com</w:t>
              </w:r>
            </w:hyperlink>
          </w:p>
        </w:tc>
        <w:tc>
          <w:tcPr>
            <w:tcW w:w="1005" w:type="dxa"/>
          </w:tcPr>
          <w:p w14:paraId="44241A77" w14:textId="77777777" w:rsidR="00FC73DE" w:rsidRDefault="00FC73DE">
            <w:pPr>
              <w:keepNext/>
              <w:keepLines/>
              <w:pBdr>
                <w:top w:val="nil"/>
                <w:left w:val="nil"/>
                <w:bottom w:val="nil"/>
                <w:right w:val="nil"/>
                <w:between w:val="nil"/>
              </w:pBdr>
              <w:spacing w:after="0"/>
              <w:rPr>
                <w:rFonts w:ascii="Arial" w:eastAsia="Arial" w:hAnsi="Arial" w:cs="Arial"/>
                <w:color w:val="000000"/>
                <w:sz w:val="18"/>
                <w:szCs w:val="18"/>
              </w:rPr>
            </w:pPr>
          </w:p>
        </w:tc>
        <w:tc>
          <w:tcPr>
            <w:tcW w:w="1275" w:type="dxa"/>
            <w:shd w:val="clear" w:color="auto" w:fill="auto"/>
            <w:vAlign w:val="center"/>
          </w:tcPr>
          <w:p w14:paraId="44241A78"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Network Operator</w:t>
            </w:r>
          </w:p>
        </w:tc>
        <w:tc>
          <w:tcPr>
            <w:tcW w:w="1665" w:type="dxa"/>
            <w:shd w:val="clear" w:color="auto" w:fill="auto"/>
            <w:vAlign w:val="center"/>
          </w:tcPr>
          <w:p w14:paraId="44241A79"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w:t>
            </w:r>
          </w:p>
        </w:tc>
      </w:tr>
      <w:tr w:rsidR="00FC73DE" w14:paraId="44241A7D" w14:textId="77777777">
        <w:trPr>
          <w:trHeight w:val="704"/>
          <w:jc w:val="center"/>
        </w:trPr>
        <w:tc>
          <w:tcPr>
            <w:tcW w:w="9750" w:type="dxa"/>
            <w:gridSpan w:val="7"/>
            <w:shd w:val="clear" w:color="auto" w:fill="auto"/>
            <w:vAlign w:val="center"/>
          </w:tcPr>
          <w:p w14:paraId="44241A7B" w14:textId="77777777" w:rsidR="00FC73DE" w:rsidRDefault="00376A12">
            <w:pPr>
              <w:keepNext/>
              <w:keepLines/>
              <w:pBdr>
                <w:top w:val="nil"/>
                <w:left w:val="nil"/>
                <w:bottom w:val="nil"/>
                <w:right w:val="nil"/>
                <w:between w:val="nil"/>
              </w:pBdr>
              <w:spacing w:after="0"/>
              <w:ind w:left="851" w:hanging="851"/>
              <w:rPr>
                <w:rFonts w:ascii="Arial" w:eastAsia="Arial" w:hAnsi="Arial" w:cs="Arial"/>
                <w:color w:val="000000"/>
                <w:sz w:val="18"/>
                <w:szCs w:val="18"/>
              </w:rPr>
            </w:pPr>
            <w:r>
              <w:rPr>
                <w:rFonts w:ascii="Arial" w:eastAsia="Arial" w:hAnsi="Arial" w:cs="Arial"/>
                <w:color w:val="000000"/>
                <w:sz w:val="18"/>
                <w:szCs w:val="18"/>
              </w:rPr>
              <w:t>(*) Identify the PoC Point of Contact with an X.</w:t>
            </w:r>
          </w:p>
          <w:p w14:paraId="44241A7C"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The Role will be network operator/service provider, infrastructure provider, application provider or other.</w:t>
            </w:r>
          </w:p>
        </w:tc>
      </w:tr>
    </w:tbl>
    <w:p w14:paraId="44241A7E" w14:textId="77777777" w:rsidR="00FC73DE" w:rsidRDefault="00376A12">
      <w:pPr>
        <w:keepNext/>
        <w:keepLines/>
        <w:pBdr>
          <w:top w:val="nil"/>
          <w:left w:val="nil"/>
          <w:bottom w:val="nil"/>
          <w:right w:val="nil"/>
          <w:between w:val="nil"/>
        </w:pBdr>
        <w:tabs>
          <w:tab w:val="left" w:pos="6495"/>
        </w:tabs>
        <w:spacing w:after="0"/>
        <w:ind w:left="851" w:hanging="851"/>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p>
    <w:p w14:paraId="44241A7F" w14:textId="77777777" w:rsidR="00FC73DE" w:rsidRDefault="00376A12">
      <w:r>
        <w:t>All the PoC Team members listed above declare that the information in this proposal is conformant to their plans at this date and commit to inform ETSI timely in case of changes in the PoC Team, scope or timeline.</w:t>
      </w:r>
    </w:p>
    <w:p w14:paraId="44241A80" w14:textId="77777777" w:rsidR="00FC73DE" w:rsidRDefault="00376A12">
      <w:pPr>
        <w:pStyle w:val="Heading2"/>
      </w:pPr>
      <w:bookmarkStart w:id="3" w:name="_heading=h.3znysh7" w:colFirst="0" w:colLast="0"/>
      <w:bookmarkEnd w:id="3"/>
      <w:r>
        <w:lastRenderedPageBreak/>
        <w:t>1.3</w:t>
      </w:r>
      <w:r>
        <w:tab/>
        <w:t>PoC Project Scope</w:t>
      </w:r>
    </w:p>
    <w:p w14:paraId="44241A81" w14:textId="77777777" w:rsidR="00FC73DE" w:rsidRDefault="00376A12">
      <w:pPr>
        <w:pStyle w:val="Heading3"/>
      </w:pPr>
      <w:bookmarkStart w:id="4" w:name="_heading=h.2et92p0" w:colFirst="0" w:colLast="0"/>
      <w:bookmarkEnd w:id="4"/>
      <w:r>
        <w:t>1.3.1</w:t>
      </w:r>
      <w:r>
        <w:tab/>
        <w:t>PoC Topics</w:t>
      </w:r>
    </w:p>
    <w:p w14:paraId="44241A82" w14:textId="77777777" w:rsidR="00FC73DE" w:rsidRDefault="00376A12">
      <w:r>
        <w:t>PoC Topics identified in this clause need to be taken for the PoC Topic List identified by ISG MEC and publicly available in the MEC WIKI. PoC Teams addressing these topics commit to submit the expected contributions in a timely manner.</w:t>
      </w:r>
    </w:p>
    <w:tbl>
      <w:tblPr>
        <w:tblStyle w:val="a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2411"/>
        <w:gridCol w:w="1985"/>
        <w:gridCol w:w="2977"/>
        <w:gridCol w:w="1383"/>
      </w:tblGrid>
      <w:tr w:rsidR="00FC73DE" w14:paraId="44241A88" w14:textId="77777777">
        <w:trPr>
          <w:jc w:val="center"/>
        </w:trPr>
        <w:tc>
          <w:tcPr>
            <w:tcW w:w="1099" w:type="dxa"/>
            <w:shd w:val="clear" w:color="auto" w:fill="D9D9D9"/>
            <w:vAlign w:val="center"/>
          </w:tcPr>
          <w:p w14:paraId="44241A83"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PoC Topic Code</w:t>
            </w:r>
          </w:p>
        </w:tc>
        <w:tc>
          <w:tcPr>
            <w:tcW w:w="2411" w:type="dxa"/>
            <w:shd w:val="clear" w:color="auto" w:fill="D9D9D9"/>
            <w:vAlign w:val="center"/>
          </w:tcPr>
          <w:p w14:paraId="44241A84"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PoC Topic Description</w:t>
            </w:r>
          </w:p>
        </w:tc>
        <w:tc>
          <w:tcPr>
            <w:tcW w:w="1985" w:type="dxa"/>
            <w:shd w:val="clear" w:color="auto" w:fill="D9D9D9"/>
            <w:vAlign w:val="center"/>
          </w:tcPr>
          <w:p w14:paraId="44241A85"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Related WG/WI</w:t>
            </w:r>
          </w:p>
        </w:tc>
        <w:tc>
          <w:tcPr>
            <w:tcW w:w="2977" w:type="dxa"/>
            <w:shd w:val="clear" w:color="auto" w:fill="D9D9D9"/>
            <w:vAlign w:val="center"/>
          </w:tcPr>
          <w:p w14:paraId="44241A86"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Expected Contribution</w:t>
            </w:r>
          </w:p>
        </w:tc>
        <w:tc>
          <w:tcPr>
            <w:tcW w:w="1383" w:type="dxa"/>
            <w:shd w:val="clear" w:color="auto" w:fill="D9D9D9"/>
            <w:vAlign w:val="center"/>
          </w:tcPr>
          <w:p w14:paraId="44241A87"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Date</w:t>
            </w:r>
          </w:p>
        </w:tc>
      </w:tr>
      <w:tr w:rsidR="00FC73DE" w14:paraId="44241A8E" w14:textId="77777777">
        <w:trPr>
          <w:jc w:val="center"/>
        </w:trPr>
        <w:tc>
          <w:tcPr>
            <w:tcW w:w="1099" w:type="dxa"/>
            <w:shd w:val="clear" w:color="auto" w:fill="auto"/>
            <w:vAlign w:val="center"/>
          </w:tcPr>
          <w:p w14:paraId="44241A89" w14:textId="77777777" w:rsidR="00FC73DE" w:rsidRDefault="00376A12">
            <w:pPr>
              <w:spacing w:after="0"/>
            </w:pPr>
            <w:r>
              <w:t>Topic 4</w:t>
            </w:r>
            <w:r>
              <w:tab/>
            </w:r>
          </w:p>
        </w:tc>
        <w:tc>
          <w:tcPr>
            <w:tcW w:w="2411" w:type="dxa"/>
            <w:shd w:val="clear" w:color="auto" w:fill="auto"/>
            <w:vAlign w:val="center"/>
          </w:tcPr>
          <w:p w14:paraId="44241A8A" w14:textId="77777777" w:rsidR="00FC73DE" w:rsidRDefault="00376A12">
            <w:pPr>
              <w:spacing w:after="0"/>
            </w:pPr>
            <w:r>
              <w:t>MEC-enabled Vertical Segments applications</w:t>
            </w:r>
          </w:p>
        </w:tc>
        <w:tc>
          <w:tcPr>
            <w:tcW w:w="1985" w:type="dxa"/>
            <w:shd w:val="clear" w:color="auto" w:fill="auto"/>
            <w:vAlign w:val="center"/>
          </w:tcPr>
          <w:p w14:paraId="44241A8B" w14:textId="77777777" w:rsidR="00FC73DE" w:rsidRDefault="00FC73DE">
            <w:pPr>
              <w:spacing w:after="0"/>
            </w:pPr>
          </w:p>
        </w:tc>
        <w:tc>
          <w:tcPr>
            <w:tcW w:w="2977" w:type="dxa"/>
            <w:shd w:val="clear" w:color="auto" w:fill="auto"/>
            <w:vAlign w:val="center"/>
          </w:tcPr>
          <w:p w14:paraId="44241A8C" w14:textId="77777777" w:rsidR="00FC73DE" w:rsidRDefault="00FC73DE">
            <w:pPr>
              <w:spacing w:after="0"/>
            </w:pPr>
          </w:p>
        </w:tc>
        <w:tc>
          <w:tcPr>
            <w:tcW w:w="1383" w:type="dxa"/>
            <w:shd w:val="clear" w:color="auto" w:fill="auto"/>
            <w:vAlign w:val="center"/>
          </w:tcPr>
          <w:p w14:paraId="44241A8D" w14:textId="77777777" w:rsidR="00FC73DE" w:rsidRDefault="00FC73DE">
            <w:pPr>
              <w:spacing w:after="0"/>
            </w:pPr>
          </w:p>
        </w:tc>
      </w:tr>
      <w:tr w:rsidR="00FC73DE" w14:paraId="44241A94" w14:textId="77777777">
        <w:trPr>
          <w:jc w:val="center"/>
        </w:trPr>
        <w:tc>
          <w:tcPr>
            <w:tcW w:w="1099" w:type="dxa"/>
            <w:shd w:val="clear" w:color="auto" w:fill="auto"/>
            <w:vAlign w:val="center"/>
          </w:tcPr>
          <w:p w14:paraId="44241A8F" w14:textId="77777777" w:rsidR="00FC73DE" w:rsidRDefault="00376A12">
            <w:pPr>
              <w:spacing w:after="0"/>
            </w:pPr>
            <w:r>
              <w:t>Topic 3</w:t>
            </w:r>
          </w:p>
        </w:tc>
        <w:tc>
          <w:tcPr>
            <w:tcW w:w="2411" w:type="dxa"/>
            <w:shd w:val="clear" w:color="auto" w:fill="auto"/>
            <w:vAlign w:val="center"/>
          </w:tcPr>
          <w:p w14:paraId="44241A90" w14:textId="77777777" w:rsidR="00FC73DE" w:rsidRDefault="00376A12">
            <w:pPr>
              <w:spacing w:after="0"/>
            </w:pPr>
            <w:r>
              <w:t>MEC Architecture</w:t>
            </w:r>
          </w:p>
        </w:tc>
        <w:tc>
          <w:tcPr>
            <w:tcW w:w="1985" w:type="dxa"/>
            <w:shd w:val="clear" w:color="auto" w:fill="auto"/>
            <w:vAlign w:val="center"/>
          </w:tcPr>
          <w:p w14:paraId="44241A91" w14:textId="77777777" w:rsidR="00FC73DE" w:rsidRDefault="00FC73DE">
            <w:pPr>
              <w:spacing w:after="0"/>
            </w:pPr>
          </w:p>
        </w:tc>
        <w:tc>
          <w:tcPr>
            <w:tcW w:w="2977" w:type="dxa"/>
            <w:shd w:val="clear" w:color="auto" w:fill="auto"/>
            <w:vAlign w:val="center"/>
          </w:tcPr>
          <w:p w14:paraId="44241A92" w14:textId="77777777" w:rsidR="00FC73DE" w:rsidRDefault="00FC73DE">
            <w:pPr>
              <w:spacing w:after="0"/>
            </w:pPr>
          </w:p>
        </w:tc>
        <w:tc>
          <w:tcPr>
            <w:tcW w:w="1383" w:type="dxa"/>
            <w:shd w:val="clear" w:color="auto" w:fill="auto"/>
            <w:vAlign w:val="center"/>
          </w:tcPr>
          <w:p w14:paraId="44241A93" w14:textId="77777777" w:rsidR="00FC73DE" w:rsidRDefault="00FC73DE">
            <w:pPr>
              <w:spacing w:after="0"/>
            </w:pPr>
          </w:p>
        </w:tc>
      </w:tr>
    </w:tbl>
    <w:p w14:paraId="44241A95" w14:textId="77777777" w:rsidR="00FC73DE" w:rsidRDefault="00FC73DE"/>
    <w:p w14:paraId="44241A96" w14:textId="77777777" w:rsidR="00FC73DE" w:rsidRDefault="00376A12">
      <w:pPr>
        <w:pStyle w:val="Heading2"/>
      </w:pPr>
      <w:bookmarkStart w:id="5" w:name="_heading=h.tyjcwt" w:colFirst="0" w:colLast="0"/>
      <w:bookmarkEnd w:id="5"/>
      <w:r>
        <w:t>1.4</w:t>
      </w:r>
      <w:r>
        <w:tab/>
        <w:t>PoC Project Milestones</w:t>
      </w:r>
    </w:p>
    <w:tbl>
      <w:tblPr>
        <w:tblStyle w:val="a1"/>
        <w:tblW w:w="9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3514"/>
        <w:gridCol w:w="957"/>
        <w:gridCol w:w="3993"/>
      </w:tblGrid>
      <w:tr w:rsidR="00FC73DE" w14:paraId="44241A9B" w14:textId="77777777">
        <w:trPr>
          <w:jc w:val="center"/>
        </w:trPr>
        <w:tc>
          <w:tcPr>
            <w:tcW w:w="1396" w:type="dxa"/>
            <w:shd w:val="clear" w:color="auto" w:fill="D9D9D9"/>
            <w:vAlign w:val="center"/>
          </w:tcPr>
          <w:p w14:paraId="44241A97"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PoC Milestone</w:t>
            </w:r>
          </w:p>
        </w:tc>
        <w:tc>
          <w:tcPr>
            <w:tcW w:w="3514" w:type="dxa"/>
            <w:shd w:val="clear" w:color="auto" w:fill="D9D9D9"/>
            <w:vAlign w:val="center"/>
          </w:tcPr>
          <w:p w14:paraId="44241A98"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Milestone description</w:t>
            </w:r>
          </w:p>
        </w:tc>
        <w:tc>
          <w:tcPr>
            <w:tcW w:w="957" w:type="dxa"/>
            <w:shd w:val="clear" w:color="auto" w:fill="D9D9D9"/>
            <w:vAlign w:val="center"/>
          </w:tcPr>
          <w:p w14:paraId="44241A99"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Date</w:t>
            </w:r>
          </w:p>
        </w:tc>
        <w:tc>
          <w:tcPr>
            <w:tcW w:w="3993" w:type="dxa"/>
            <w:shd w:val="clear" w:color="auto" w:fill="D9D9D9"/>
            <w:vAlign w:val="center"/>
          </w:tcPr>
          <w:p w14:paraId="44241A9A" w14:textId="77777777" w:rsidR="00FC73DE" w:rsidRDefault="00376A12">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Additional Info</w:t>
            </w:r>
          </w:p>
        </w:tc>
      </w:tr>
      <w:tr w:rsidR="00FC73DE" w14:paraId="44241AA0" w14:textId="77777777">
        <w:trPr>
          <w:jc w:val="center"/>
        </w:trPr>
        <w:tc>
          <w:tcPr>
            <w:tcW w:w="1396" w:type="dxa"/>
            <w:shd w:val="clear" w:color="auto" w:fill="auto"/>
            <w:vAlign w:val="center"/>
          </w:tcPr>
          <w:p w14:paraId="44241A9C"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P.S</w:t>
            </w:r>
          </w:p>
        </w:tc>
        <w:tc>
          <w:tcPr>
            <w:tcW w:w="3514" w:type="dxa"/>
            <w:shd w:val="clear" w:color="auto" w:fill="auto"/>
            <w:vAlign w:val="center"/>
          </w:tcPr>
          <w:p w14:paraId="44241A9D"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PoC Project Start</w:t>
            </w:r>
          </w:p>
        </w:tc>
        <w:tc>
          <w:tcPr>
            <w:tcW w:w="957" w:type="dxa"/>
            <w:shd w:val="clear" w:color="auto" w:fill="auto"/>
            <w:vAlign w:val="center"/>
          </w:tcPr>
          <w:p w14:paraId="44241A9E"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01/09/23</w:t>
            </w:r>
          </w:p>
        </w:tc>
        <w:tc>
          <w:tcPr>
            <w:tcW w:w="3993" w:type="dxa"/>
            <w:shd w:val="clear" w:color="auto" w:fill="auto"/>
            <w:vAlign w:val="center"/>
          </w:tcPr>
          <w:p w14:paraId="44241A9F" w14:textId="77777777" w:rsidR="00FC73DE" w:rsidRDefault="00FC73DE">
            <w:pPr>
              <w:keepNext/>
              <w:keepLines/>
              <w:pBdr>
                <w:top w:val="nil"/>
                <w:left w:val="nil"/>
                <w:bottom w:val="nil"/>
                <w:right w:val="nil"/>
                <w:between w:val="nil"/>
              </w:pBdr>
              <w:spacing w:after="0"/>
              <w:rPr>
                <w:rFonts w:ascii="Arial" w:eastAsia="Arial" w:hAnsi="Arial" w:cs="Arial"/>
                <w:color w:val="000000"/>
                <w:sz w:val="18"/>
                <w:szCs w:val="18"/>
              </w:rPr>
            </w:pPr>
          </w:p>
        </w:tc>
      </w:tr>
      <w:tr w:rsidR="00FC73DE" w14:paraId="44241AA5" w14:textId="77777777">
        <w:trPr>
          <w:jc w:val="center"/>
        </w:trPr>
        <w:tc>
          <w:tcPr>
            <w:tcW w:w="1396" w:type="dxa"/>
            <w:shd w:val="clear" w:color="auto" w:fill="auto"/>
            <w:vAlign w:val="center"/>
          </w:tcPr>
          <w:p w14:paraId="44241AA1"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P.C1</w:t>
            </w:r>
          </w:p>
        </w:tc>
        <w:tc>
          <w:tcPr>
            <w:tcW w:w="3514" w:type="dxa"/>
            <w:shd w:val="clear" w:color="auto" w:fill="auto"/>
            <w:vAlign w:val="center"/>
          </w:tcPr>
          <w:p w14:paraId="44241AA2"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PoC Expected Contribution 1</w:t>
            </w:r>
          </w:p>
        </w:tc>
        <w:tc>
          <w:tcPr>
            <w:tcW w:w="957" w:type="dxa"/>
            <w:shd w:val="clear" w:color="auto" w:fill="auto"/>
            <w:vAlign w:val="center"/>
          </w:tcPr>
          <w:p w14:paraId="44241AA3"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01/11/23</w:t>
            </w:r>
          </w:p>
        </w:tc>
        <w:tc>
          <w:tcPr>
            <w:tcW w:w="3993" w:type="dxa"/>
            <w:shd w:val="clear" w:color="auto" w:fill="auto"/>
            <w:vAlign w:val="center"/>
          </w:tcPr>
          <w:p w14:paraId="44241AA4" w14:textId="77777777" w:rsidR="00FC73DE" w:rsidRDefault="00FC73DE">
            <w:pPr>
              <w:keepNext/>
              <w:keepLines/>
              <w:pBdr>
                <w:top w:val="nil"/>
                <w:left w:val="nil"/>
                <w:bottom w:val="nil"/>
                <w:right w:val="nil"/>
                <w:between w:val="nil"/>
              </w:pBdr>
              <w:spacing w:after="0"/>
              <w:rPr>
                <w:rFonts w:ascii="Arial" w:eastAsia="Arial" w:hAnsi="Arial" w:cs="Arial"/>
                <w:color w:val="000000"/>
                <w:sz w:val="18"/>
                <w:szCs w:val="18"/>
              </w:rPr>
            </w:pPr>
          </w:p>
        </w:tc>
      </w:tr>
      <w:tr w:rsidR="00FC73DE" w14:paraId="44241AAA" w14:textId="77777777">
        <w:trPr>
          <w:jc w:val="center"/>
        </w:trPr>
        <w:tc>
          <w:tcPr>
            <w:tcW w:w="1396" w:type="dxa"/>
            <w:shd w:val="clear" w:color="auto" w:fill="auto"/>
            <w:vAlign w:val="center"/>
          </w:tcPr>
          <w:p w14:paraId="44241AA6" w14:textId="77777777" w:rsidR="00FC73DE" w:rsidRDefault="00FC73DE">
            <w:pPr>
              <w:keepNext/>
              <w:keepLines/>
              <w:pBdr>
                <w:top w:val="nil"/>
                <w:left w:val="nil"/>
                <w:bottom w:val="nil"/>
                <w:right w:val="nil"/>
                <w:between w:val="nil"/>
              </w:pBdr>
              <w:spacing w:after="0"/>
              <w:rPr>
                <w:rFonts w:ascii="Arial" w:eastAsia="Arial" w:hAnsi="Arial" w:cs="Arial"/>
                <w:color w:val="000000"/>
                <w:sz w:val="18"/>
                <w:szCs w:val="18"/>
              </w:rPr>
            </w:pPr>
          </w:p>
        </w:tc>
        <w:tc>
          <w:tcPr>
            <w:tcW w:w="3514" w:type="dxa"/>
            <w:shd w:val="clear" w:color="auto" w:fill="auto"/>
            <w:vAlign w:val="center"/>
          </w:tcPr>
          <w:p w14:paraId="44241AA7"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Submission for OFC24 demo</w:t>
            </w:r>
          </w:p>
        </w:tc>
        <w:tc>
          <w:tcPr>
            <w:tcW w:w="957" w:type="dxa"/>
            <w:shd w:val="clear" w:color="auto" w:fill="auto"/>
            <w:vAlign w:val="center"/>
          </w:tcPr>
          <w:p w14:paraId="44241AA8" w14:textId="77777777" w:rsidR="00FC73DE" w:rsidRDefault="00376A12">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15/11/23</w:t>
            </w:r>
          </w:p>
        </w:tc>
        <w:tc>
          <w:tcPr>
            <w:tcW w:w="3993" w:type="dxa"/>
            <w:shd w:val="clear" w:color="auto" w:fill="auto"/>
            <w:vAlign w:val="center"/>
          </w:tcPr>
          <w:p w14:paraId="44241AA9" w14:textId="77777777" w:rsidR="00FC73DE" w:rsidRDefault="00FC73DE">
            <w:pPr>
              <w:keepNext/>
              <w:keepLines/>
              <w:pBdr>
                <w:top w:val="nil"/>
                <w:left w:val="nil"/>
                <w:bottom w:val="nil"/>
                <w:right w:val="nil"/>
                <w:between w:val="nil"/>
              </w:pBdr>
              <w:spacing w:after="0"/>
              <w:rPr>
                <w:rFonts w:ascii="Arial" w:eastAsia="Arial" w:hAnsi="Arial" w:cs="Arial"/>
                <w:color w:val="000000"/>
                <w:sz w:val="18"/>
                <w:szCs w:val="18"/>
              </w:rPr>
            </w:pPr>
          </w:p>
        </w:tc>
      </w:tr>
      <w:tr w:rsidR="00FE2598" w14:paraId="7464C3D8" w14:textId="77777777">
        <w:trPr>
          <w:jc w:val="center"/>
        </w:trPr>
        <w:tc>
          <w:tcPr>
            <w:tcW w:w="1396" w:type="dxa"/>
            <w:shd w:val="clear" w:color="auto" w:fill="auto"/>
            <w:vAlign w:val="center"/>
          </w:tcPr>
          <w:p w14:paraId="3271BBD5" w14:textId="5AE0EFB7" w:rsidR="00FE2598" w:rsidRDefault="00FE2598" w:rsidP="00FE2598">
            <w:pPr>
              <w:keepNext/>
              <w:keepLines/>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i/>
                <w:color w:val="000000"/>
                <w:sz w:val="18"/>
                <w:szCs w:val="18"/>
              </w:rPr>
              <w:t>P.D1</w:t>
            </w:r>
          </w:p>
        </w:tc>
        <w:tc>
          <w:tcPr>
            <w:tcW w:w="3514" w:type="dxa"/>
            <w:shd w:val="clear" w:color="auto" w:fill="auto"/>
            <w:vAlign w:val="center"/>
          </w:tcPr>
          <w:p w14:paraId="503F97D2" w14:textId="0259204B" w:rsidR="00FE2598" w:rsidRDefault="00FE2598" w:rsidP="00FE2598">
            <w:pPr>
              <w:keepNext/>
              <w:keepLines/>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i/>
                <w:color w:val="000000"/>
                <w:sz w:val="18"/>
                <w:szCs w:val="18"/>
              </w:rPr>
              <w:t>First Preliminary PoC Demo</w:t>
            </w:r>
          </w:p>
        </w:tc>
        <w:tc>
          <w:tcPr>
            <w:tcW w:w="957" w:type="dxa"/>
            <w:shd w:val="clear" w:color="auto" w:fill="auto"/>
            <w:vAlign w:val="center"/>
          </w:tcPr>
          <w:p w14:paraId="32B02B08" w14:textId="3038846F" w:rsidR="00FE2598" w:rsidRDefault="00FE2598" w:rsidP="00FE2598">
            <w:pPr>
              <w:keepNext/>
              <w:keepLines/>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i/>
                <w:color w:val="000000"/>
                <w:sz w:val="18"/>
                <w:szCs w:val="18"/>
              </w:rPr>
              <w:t>04/12/24</w:t>
            </w:r>
          </w:p>
        </w:tc>
        <w:tc>
          <w:tcPr>
            <w:tcW w:w="3993" w:type="dxa"/>
            <w:shd w:val="clear" w:color="auto" w:fill="auto"/>
            <w:vAlign w:val="center"/>
          </w:tcPr>
          <w:p w14:paraId="2B6FA048" w14:textId="20471517" w:rsidR="00FE2598" w:rsidRDefault="00D3620C" w:rsidP="00FE2598">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sz w:val="18"/>
                <w:szCs w:val="18"/>
              </w:rPr>
              <w:t>MEC Plenary #36</w:t>
            </w:r>
            <w:bookmarkStart w:id="6" w:name="_GoBack"/>
            <w:bookmarkEnd w:id="6"/>
          </w:p>
        </w:tc>
      </w:tr>
      <w:tr w:rsidR="00FC73DE" w14:paraId="44241AAF" w14:textId="77777777">
        <w:trPr>
          <w:jc w:val="center"/>
        </w:trPr>
        <w:tc>
          <w:tcPr>
            <w:tcW w:w="1396" w:type="dxa"/>
            <w:shd w:val="clear" w:color="auto" w:fill="auto"/>
            <w:vAlign w:val="center"/>
          </w:tcPr>
          <w:p w14:paraId="44241AAB" w14:textId="5362AE42" w:rsidR="00FC73DE" w:rsidRDefault="00FE2598">
            <w:pPr>
              <w:keepNext/>
              <w:keepLines/>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i/>
                <w:color w:val="000000"/>
                <w:sz w:val="18"/>
                <w:szCs w:val="18"/>
              </w:rPr>
              <w:t>P.D2</w:t>
            </w:r>
          </w:p>
        </w:tc>
        <w:tc>
          <w:tcPr>
            <w:tcW w:w="3514" w:type="dxa"/>
            <w:shd w:val="clear" w:color="auto" w:fill="auto"/>
            <w:vAlign w:val="center"/>
          </w:tcPr>
          <w:p w14:paraId="44241AAC" w14:textId="4F4A1BBC" w:rsidR="00FC73DE" w:rsidRDefault="00C4619A">
            <w:pPr>
              <w:keepNext/>
              <w:keepLines/>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i/>
                <w:color w:val="000000"/>
                <w:sz w:val="18"/>
                <w:szCs w:val="18"/>
              </w:rPr>
              <w:t>PoC Demo 2</w:t>
            </w:r>
          </w:p>
        </w:tc>
        <w:tc>
          <w:tcPr>
            <w:tcW w:w="957" w:type="dxa"/>
            <w:shd w:val="clear" w:color="auto" w:fill="auto"/>
            <w:vAlign w:val="center"/>
          </w:tcPr>
          <w:p w14:paraId="44241AAD" w14:textId="77777777" w:rsidR="00FC73DE" w:rsidRDefault="00376A12">
            <w:pPr>
              <w:keepNext/>
              <w:keepLines/>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i/>
                <w:color w:val="000000"/>
                <w:sz w:val="18"/>
                <w:szCs w:val="18"/>
              </w:rPr>
              <w:t>15/03/24</w:t>
            </w:r>
          </w:p>
        </w:tc>
        <w:tc>
          <w:tcPr>
            <w:tcW w:w="3993" w:type="dxa"/>
            <w:shd w:val="clear" w:color="auto" w:fill="auto"/>
            <w:vAlign w:val="center"/>
          </w:tcPr>
          <w:p w14:paraId="44241AAE" w14:textId="77777777" w:rsidR="00FC73DE" w:rsidRDefault="00376A12">
            <w:pPr>
              <w:keepNext/>
              <w:keepLines/>
              <w:pBdr>
                <w:top w:val="nil"/>
                <w:left w:val="nil"/>
                <w:bottom w:val="nil"/>
                <w:right w:val="nil"/>
                <w:between w:val="nil"/>
              </w:pBdr>
              <w:spacing w:after="0"/>
              <w:rPr>
                <w:rFonts w:ascii="Arial" w:eastAsia="Arial" w:hAnsi="Arial" w:cs="Arial"/>
                <w:i/>
                <w:color w:val="000000"/>
                <w:sz w:val="18"/>
                <w:szCs w:val="18"/>
              </w:rPr>
            </w:pPr>
            <w:r>
              <w:rPr>
                <w:rFonts w:ascii="Arial" w:eastAsia="Arial" w:hAnsi="Arial" w:cs="Arial"/>
                <w:color w:val="000000"/>
                <w:sz w:val="18"/>
                <w:szCs w:val="18"/>
              </w:rPr>
              <w:t xml:space="preserve">San Diego, F2F </w:t>
            </w:r>
          </w:p>
        </w:tc>
      </w:tr>
      <w:tr w:rsidR="00DC18F4" w14:paraId="44241AB4" w14:textId="77777777">
        <w:trPr>
          <w:trHeight w:val="191"/>
          <w:jc w:val="center"/>
        </w:trPr>
        <w:tc>
          <w:tcPr>
            <w:tcW w:w="1396" w:type="dxa"/>
            <w:shd w:val="clear" w:color="auto" w:fill="auto"/>
            <w:vAlign w:val="center"/>
          </w:tcPr>
          <w:p w14:paraId="44241AB0" w14:textId="79339629" w:rsidR="00DC18F4" w:rsidRDefault="00FE2598" w:rsidP="00DC18F4">
            <w:pPr>
              <w:keepNext/>
              <w:keepLines/>
              <w:spacing w:after="0"/>
              <w:rPr>
                <w:rFonts w:ascii="Arial" w:eastAsia="Arial" w:hAnsi="Arial" w:cs="Arial"/>
                <w:sz w:val="18"/>
                <w:szCs w:val="18"/>
              </w:rPr>
            </w:pPr>
            <w:r>
              <w:rPr>
                <w:rFonts w:ascii="Arial" w:eastAsia="Arial" w:hAnsi="Arial" w:cs="Arial"/>
                <w:sz w:val="18"/>
                <w:szCs w:val="18"/>
              </w:rPr>
              <w:t>P.D3</w:t>
            </w:r>
          </w:p>
        </w:tc>
        <w:tc>
          <w:tcPr>
            <w:tcW w:w="3514" w:type="dxa"/>
            <w:shd w:val="clear" w:color="auto" w:fill="auto"/>
            <w:vAlign w:val="center"/>
          </w:tcPr>
          <w:p w14:paraId="44241AB1" w14:textId="2B4099CB" w:rsidR="00DC18F4" w:rsidRDefault="00C4619A" w:rsidP="00DC18F4">
            <w:pPr>
              <w:keepNext/>
              <w:keepLines/>
              <w:spacing w:after="0"/>
              <w:rPr>
                <w:rFonts w:ascii="Arial" w:eastAsia="Arial" w:hAnsi="Arial" w:cs="Arial"/>
                <w:sz w:val="18"/>
                <w:szCs w:val="18"/>
              </w:rPr>
            </w:pPr>
            <w:r>
              <w:rPr>
                <w:rFonts w:ascii="Arial" w:eastAsia="Arial" w:hAnsi="Arial" w:cs="Arial"/>
                <w:i/>
                <w:sz w:val="18"/>
                <w:szCs w:val="18"/>
              </w:rPr>
              <w:t>PoC Demo 3</w:t>
            </w:r>
          </w:p>
        </w:tc>
        <w:tc>
          <w:tcPr>
            <w:tcW w:w="957" w:type="dxa"/>
            <w:shd w:val="clear" w:color="auto" w:fill="auto"/>
            <w:vAlign w:val="center"/>
          </w:tcPr>
          <w:p w14:paraId="44241AB2" w14:textId="77777777" w:rsidR="00DC18F4" w:rsidRDefault="00DC18F4" w:rsidP="00DC18F4">
            <w:pPr>
              <w:keepNext/>
              <w:keepLines/>
              <w:spacing w:after="0"/>
              <w:rPr>
                <w:rFonts w:ascii="Arial" w:eastAsia="Arial" w:hAnsi="Arial" w:cs="Arial"/>
                <w:sz w:val="18"/>
                <w:szCs w:val="18"/>
              </w:rPr>
            </w:pPr>
            <w:r>
              <w:rPr>
                <w:rFonts w:ascii="Arial" w:eastAsia="Arial" w:hAnsi="Arial" w:cs="Arial"/>
                <w:sz w:val="18"/>
                <w:szCs w:val="18"/>
              </w:rPr>
              <w:t>18/03/24</w:t>
            </w:r>
          </w:p>
        </w:tc>
        <w:tc>
          <w:tcPr>
            <w:tcW w:w="3993" w:type="dxa"/>
            <w:shd w:val="clear" w:color="auto" w:fill="auto"/>
            <w:vAlign w:val="center"/>
          </w:tcPr>
          <w:p w14:paraId="44241AB3" w14:textId="77777777" w:rsidR="00DC18F4" w:rsidRDefault="00DC18F4" w:rsidP="00DC18F4">
            <w:pPr>
              <w:keepNext/>
              <w:keepLines/>
              <w:spacing w:after="0"/>
              <w:rPr>
                <w:rFonts w:ascii="Arial" w:eastAsia="Arial" w:hAnsi="Arial" w:cs="Arial"/>
                <w:sz w:val="18"/>
                <w:szCs w:val="18"/>
              </w:rPr>
            </w:pPr>
            <w:r>
              <w:rPr>
                <w:rFonts w:ascii="Arial" w:eastAsia="Arial" w:hAnsi="Arial" w:cs="Arial"/>
                <w:i/>
                <w:sz w:val="18"/>
                <w:szCs w:val="18"/>
              </w:rPr>
              <w:t>MEC Plenary #37</w:t>
            </w:r>
          </w:p>
        </w:tc>
      </w:tr>
      <w:tr w:rsidR="00DC18F4" w14:paraId="44241AB9" w14:textId="77777777">
        <w:trPr>
          <w:trHeight w:val="191"/>
          <w:jc w:val="center"/>
        </w:trPr>
        <w:tc>
          <w:tcPr>
            <w:tcW w:w="1396" w:type="dxa"/>
            <w:shd w:val="clear" w:color="auto" w:fill="auto"/>
            <w:vAlign w:val="center"/>
          </w:tcPr>
          <w:p w14:paraId="44241AB5" w14:textId="71D8C6CB" w:rsidR="00DC18F4" w:rsidRDefault="00FE2598"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P.D4</w:t>
            </w:r>
          </w:p>
        </w:tc>
        <w:tc>
          <w:tcPr>
            <w:tcW w:w="3514" w:type="dxa"/>
            <w:shd w:val="clear" w:color="auto" w:fill="auto"/>
            <w:vAlign w:val="center"/>
          </w:tcPr>
          <w:p w14:paraId="44241AB6" w14:textId="339B601B"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 xml:space="preserve">PoC Demo </w:t>
            </w:r>
            <w:r w:rsidR="00C4619A">
              <w:rPr>
                <w:rFonts w:ascii="Arial" w:eastAsia="Arial" w:hAnsi="Arial" w:cs="Arial"/>
                <w:i/>
                <w:sz w:val="18"/>
                <w:szCs w:val="18"/>
              </w:rPr>
              <w:t>4</w:t>
            </w:r>
          </w:p>
        </w:tc>
        <w:tc>
          <w:tcPr>
            <w:tcW w:w="957" w:type="dxa"/>
            <w:shd w:val="clear" w:color="auto" w:fill="auto"/>
            <w:vAlign w:val="center"/>
          </w:tcPr>
          <w:p w14:paraId="44241AB7"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01/04/24</w:t>
            </w:r>
          </w:p>
        </w:tc>
        <w:tc>
          <w:tcPr>
            <w:tcW w:w="3993" w:type="dxa"/>
            <w:shd w:val="clear" w:color="auto" w:fill="auto"/>
            <w:vAlign w:val="center"/>
          </w:tcPr>
          <w:p w14:paraId="44241AB8"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Webinar</w:t>
            </w:r>
          </w:p>
        </w:tc>
      </w:tr>
      <w:tr w:rsidR="00DC18F4" w14:paraId="44241ABE" w14:textId="77777777">
        <w:trPr>
          <w:jc w:val="center"/>
        </w:trPr>
        <w:tc>
          <w:tcPr>
            <w:tcW w:w="1396" w:type="dxa"/>
            <w:shd w:val="clear" w:color="auto" w:fill="auto"/>
            <w:vAlign w:val="center"/>
          </w:tcPr>
          <w:p w14:paraId="44241ABA"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P.R</w:t>
            </w:r>
          </w:p>
        </w:tc>
        <w:tc>
          <w:tcPr>
            <w:tcW w:w="3514" w:type="dxa"/>
            <w:shd w:val="clear" w:color="auto" w:fill="auto"/>
            <w:vAlign w:val="center"/>
          </w:tcPr>
          <w:p w14:paraId="44241ABB"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PoC Report</w:t>
            </w:r>
          </w:p>
        </w:tc>
        <w:tc>
          <w:tcPr>
            <w:tcW w:w="957" w:type="dxa"/>
            <w:shd w:val="clear" w:color="auto" w:fill="auto"/>
            <w:vAlign w:val="center"/>
          </w:tcPr>
          <w:p w14:paraId="44241ABC" w14:textId="77777777" w:rsidR="00DC18F4" w:rsidRPr="008E4B43" w:rsidRDefault="008E4B43" w:rsidP="00DC18F4">
            <w:pPr>
              <w:keepNext/>
              <w:keepLines/>
              <w:pBdr>
                <w:top w:val="nil"/>
                <w:left w:val="nil"/>
                <w:bottom w:val="nil"/>
                <w:right w:val="nil"/>
                <w:between w:val="nil"/>
              </w:pBdr>
              <w:spacing w:after="0"/>
              <w:rPr>
                <w:rFonts w:ascii="Arial" w:eastAsia="Arial" w:hAnsi="Arial" w:cs="Arial"/>
                <w:i/>
                <w:color w:val="000000"/>
                <w:sz w:val="18"/>
                <w:szCs w:val="18"/>
              </w:rPr>
            </w:pPr>
            <w:r w:rsidRPr="008E4B43">
              <w:rPr>
                <w:rFonts w:ascii="Arial" w:eastAsia="Arial" w:hAnsi="Arial" w:cs="Arial"/>
                <w:i/>
                <w:color w:val="000000"/>
                <w:sz w:val="18"/>
                <w:szCs w:val="18"/>
              </w:rPr>
              <w:t>TBD</w:t>
            </w:r>
          </w:p>
        </w:tc>
        <w:tc>
          <w:tcPr>
            <w:tcW w:w="3993" w:type="dxa"/>
            <w:shd w:val="clear" w:color="auto" w:fill="auto"/>
            <w:vAlign w:val="center"/>
          </w:tcPr>
          <w:p w14:paraId="44241ABD"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p>
        </w:tc>
      </w:tr>
      <w:tr w:rsidR="00DC18F4" w14:paraId="44241AC3" w14:textId="77777777">
        <w:trPr>
          <w:jc w:val="center"/>
        </w:trPr>
        <w:tc>
          <w:tcPr>
            <w:tcW w:w="1396" w:type="dxa"/>
            <w:shd w:val="clear" w:color="auto" w:fill="auto"/>
            <w:vAlign w:val="center"/>
          </w:tcPr>
          <w:p w14:paraId="44241ABF"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w:t>
            </w:r>
          </w:p>
        </w:tc>
        <w:tc>
          <w:tcPr>
            <w:tcW w:w="3514" w:type="dxa"/>
            <w:shd w:val="clear" w:color="auto" w:fill="auto"/>
            <w:vAlign w:val="center"/>
          </w:tcPr>
          <w:p w14:paraId="44241AC0"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PoC Project End</w:t>
            </w:r>
          </w:p>
        </w:tc>
        <w:tc>
          <w:tcPr>
            <w:tcW w:w="957" w:type="dxa"/>
            <w:shd w:val="clear" w:color="auto" w:fill="auto"/>
            <w:vAlign w:val="center"/>
          </w:tcPr>
          <w:p w14:paraId="44241AC1" w14:textId="77777777" w:rsidR="00DC18F4" w:rsidRPr="008E4B43" w:rsidRDefault="008E4B43" w:rsidP="00DC18F4">
            <w:pPr>
              <w:keepNext/>
              <w:keepLines/>
              <w:pBdr>
                <w:top w:val="nil"/>
                <w:left w:val="nil"/>
                <w:bottom w:val="nil"/>
                <w:right w:val="nil"/>
                <w:between w:val="nil"/>
              </w:pBdr>
              <w:spacing w:after="0"/>
              <w:rPr>
                <w:rFonts w:ascii="Arial" w:eastAsia="Arial" w:hAnsi="Arial" w:cs="Arial"/>
                <w:i/>
                <w:color w:val="000000"/>
                <w:sz w:val="18"/>
                <w:szCs w:val="18"/>
              </w:rPr>
            </w:pPr>
            <w:r w:rsidRPr="008E4B43">
              <w:rPr>
                <w:rFonts w:ascii="Arial" w:eastAsia="Arial" w:hAnsi="Arial" w:cs="Arial"/>
                <w:i/>
                <w:color w:val="000000"/>
                <w:sz w:val="18"/>
                <w:szCs w:val="18"/>
              </w:rPr>
              <w:t>TBD</w:t>
            </w:r>
          </w:p>
        </w:tc>
        <w:tc>
          <w:tcPr>
            <w:tcW w:w="3993" w:type="dxa"/>
            <w:shd w:val="clear" w:color="auto" w:fill="auto"/>
            <w:vAlign w:val="center"/>
          </w:tcPr>
          <w:p w14:paraId="44241AC2" w14:textId="77777777" w:rsidR="00DC18F4" w:rsidRDefault="00DC18F4" w:rsidP="00DC18F4">
            <w:pPr>
              <w:keepNext/>
              <w:keepLines/>
              <w:pBdr>
                <w:top w:val="nil"/>
                <w:left w:val="nil"/>
                <w:bottom w:val="nil"/>
                <w:right w:val="nil"/>
                <w:between w:val="nil"/>
              </w:pBdr>
              <w:spacing w:after="0"/>
              <w:rPr>
                <w:rFonts w:ascii="Arial" w:eastAsia="Arial" w:hAnsi="Arial" w:cs="Arial"/>
                <w:color w:val="000000"/>
                <w:sz w:val="18"/>
                <w:szCs w:val="18"/>
              </w:rPr>
            </w:pPr>
          </w:p>
        </w:tc>
      </w:tr>
    </w:tbl>
    <w:p w14:paraId="44241AC4" w14:textId="77777777" w:rsidR="00FC73DE" w:rsidRDefault="00FC73DE"/>
    <w:p w14:paraId="44241AC5" w14:textId="77777777" w:rsidR="00FC73DE" w:rsidRDefault="00376A12">
      <w:pPr>
        <w:pStyle w:val="Heading2"/>
      </w:pPr>
      <w:bookmarkStart w:id="7" w:name="_heading=h.3dy6vkm" w:colFirst="0" w:colLast="0"/>
      <w:bookmarkEnd w:id="7"/>
      <w:r>
        <w:t>1.5</w:t>
      </w:r>
      <w:r>
        <w:tab/>
        <w:t>Additional Details</w:t>
      </w:r>
    </w:p>
    <w:p w14:paraId="44241AC6" w14:textId="77777777" w:rsidR="00FC73DE" w:rsidRDefault="00376A12">
      <w:pPr>
        <w:rPr>
          <w:color w:val="0563C1"/>
          <w:u w:val="single"/>
        </w:rPr>
      </w:pPr>
      <w:r>
        <w:t xml:space="preserve">Demo paper OFC 24: </w:t>
      </w:r>
      <w:hyperlink r:id="rId11">
        <w:r>
          <w:rPr>
            <w:color w:val="0563C1"/>
            <w:u w:val="single"/>
          </w:rPr>
          <w:t>https://www.ofcconference.org/en-us/home/submit-papers/topic-categories/</w:t>
        </w:r>
      </w:hyperlink>
    </w:p>
    <w:p w14:paraId="6D0B66CB" w14:textId="7B732EA9" w:rsidR="00202929" w:rsidRDefault="00D43B61" w:rsidP="00D43B61">
      <w:r>
        <w:t>This work is partly supported by Hexa-X-II project, receiving funding from the SNS JU under the European Union’s Horizon Europe research and innovation programme (GA no. 101095759).</w:t>
      </w:r>
    </w:p>
    <w:p w14:paraId="44241AC7" w14:textId="77777777" w:rsidR="00FC73DE" w:rsidRDefault="00376A12">
      <w:pPr>
        <w:pStyle w:val="Heading1"/>
      </w:pPr>
      <w:bookmarkStart w:id="8" w:name="_heading=h.1t3h5sf" w:colFirst="0" w:colLast="0"/>
      <w:bookmarkEnd w:id="8"/>
      <w:r>
        <w:t>2</w:t>
      </w:r>
      <w:r>
        <w:tab/>
        <w:t>PoC Technical Details</w:t>
      </w:r>
    </w:p>
    <w:p w14:paraId="44241AC8" w14:textId="77777777" w:rsidR="00FC73DE" w:rsidRDefault="00376A12">
      <w:pPr>
        <w:pStyle w:val="Heading2"/>
      </w:pPr>
      <w:bookmarkStart w:id="9" w:name="_heading=h.4d34og8" w:colFirst="0" w:colLast="0"/>
      <w:bookmarkEnd w:id="9"/>
      <w:r>
        <w:t>2.1</w:t>
      </w:r>
      <w:r>
        <w:tab/>
        <w:t>PoC Overview</w:t>
      </w:r>
    </w:p>
    <w:p w14:paraId="44241AC9" w14:textId="77777777" w:rsidR="00FC73DE" w:rsidRDefault="00376A12">
      <w:pPr>
        <w:jc w:val="both"/>
      </w:pPr>
      <w:r>
        <w:t>MEC BandWidth Management (BWM) service and TeraFlowSDN can be used to provide dedicated resources for network resource allocation for Gaming. BWM allows applications to allocate specific amounts of bandwidth to gaming applications, while TeraFlowSDN provides a way to manage and control traffic flows. This can help to ensure that gaming traffic has priority over other traffic, which can improve the gaming experience for users.</w:t>
      </w:r>
    </w:p>
    <w:p w14:paraId="44241ACA" w14:textId="77777777" w:rsidR="00FC73DE" w:rsidRDefault="00376A12">
      <w:pPr>
        <w:jc w:val="both"/>
      </w:pPr>
      <w:r>
        <w:t>Here are some of the benefits of using MEC BBM and TeraFlowSDN for gaming networking: Improved gaming performance, reduced congestion, and Increased scalability. By ensuring that gaming traffic has priority, BWM and TeraFlowSDN can help to reduce latency and improve the overall gaming experience. By allocating specific amounts of bandwidth to gaming applications, BWM and TeraFlowSDN can help to reduce congestion on the network, which can improve the gaming experience for all users. Finally, BBM and TeraFlowSDN can be easily scaled to accommodate more users and traffic, which is important for gaming applications that are expected to grow in popularity.</w:t>
      </w:r>
    </w:p>
    <w:p w14:paraId="44241ACB" w14:textId="77777777" w:rsidR="00FC73DE" w:rsidRDefault="00376A12">
      <w:pPr>
        <w:jc w:val="both"/>
      </w:pPr>
      <w:r>
        <w:lastRenderedPageBreak/>
        <w:t>Overall, MEC BWM and TeraFlowSDN can be a valuable tool for operators who want to provide a dedicated gaming experience for their users.</w:t>
      </w:r>
    </w:p>
    <w:p w14:paraId="44241ACC" w14:textId="77777777" w:rsidR="00FC73DE" w:rsidRDefault="00376A12">
      <w:pPr>
        <w:pStyle w:val="Heading2"/>
      </w:pPr>
      <w:bookmarkStart w:id="10" w:name="_heading=h.2s8eyo1" w:colFirst="0" w:colLast="0"/>
      <w:bookmarkEnd w:id="10"/>
      <w:r>
        <w:t>2.2</w:t>
      </w:r>
      <w:r>
        <w:tab/>
        <w:t>PoC Architecture</w:t>
      </w:r>
    </w:p>
    <w:p w14:paraId="44241ACD" w14:textId="77777777" w:rsidR="00FC73DE" w:rsidRDefault="00D3620C" w:rsidP="00376A12">
      <w:pPr>
        <w:jc w:val="center"/>
      </w:pPr>
      <w:r>
        <w:pict w14:anchorId="44241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21.5pt;mso-left-percent:-10001;mso-top-percent:-10001;mso-position-horizontal:absolute;mso-position-horizontal-relative:char;mso-position-vertical:absolute;mso-position-vertical-relative:line;mso-left-percent:-10001;mso-top-percent:-10001">
            <v:imagedata r:id="rId12" o:title=""/>
          </v:shape>
        </w:pict>
      </w:r>
    </w:p>
    <w:p w14:paraId="44241ACE" w14:textId="77777777" w:rsidR="00FC73DE" w:rsidRDefault="00376A12">
      <w:pPr>
        <w:jc w:val="both"/>
      </w:pPr>
      <w:r>
        <w:t>Network resource allocation for gaming using MEC BandWidth Management (BWM) service and TeraFlowSDN (TFS) can be done in the following steps:</w:t>
      </w:r>
    </w:p>
    <w:p w14:paraId="44241ACF" w14:textId="77777777" w:rsidR="00FC73DE" w:rsidRDefault="00376A12">
      <w:pPr>
        <w:numPr>
          <w:ilvl w:val="0"/>
          <w:numId w:val="2"/>
        </w:numPr>
        <w:jc w:val="both"/>
      </w:pPr>
      <w:r>
        <w:t>Identify the gaming applications that need dedicated resources. This can be done by analyzing the traffic patterns of gaming applications and identifying the ones that are most demanding in terms of bandwidth.</w:t>
      </w:r>
    </w:p>
    <w:p w14:paraId="44241AD0" w14:textId="77777777" w:rsidR="00FC73DE" w:rsidRDefault="00376A12">
      <w:pPr>
        <w:numPr>
          <w:ilvl w:val="0"/>
          <w:numId w:val="2"/>
        </w:numPr>
        <w:jc w:val="both"/>
      </w:pPr>
      <w:r>
        <w:t>Set up TeraFlowSDN including network equipment (e.g., CSGW). This involves installing the software and configuring the policies that will be used to allocate bandwidth to gaming applications.</w:t>
      </w:r>
    </w:p>
    <w:p w14:paraId="44241AD1" w14:textId="77777777" w:rsidR="00FC73DE" w:rsidRDefault="00376A12">
      <w:pPr>
        <w:numPr>
          <w:ilvl w:val="0"/>
          <w:numId w:val="2"/>
        </w:numPr>
        <w:jc w:val="both"/>
      </w:pPr>
      <w:r>
        <w:t>Allocate bandwidth to gaming applications. xFlow application will send to TeraFlowSDN bandwidth allocation request. The amount of bandwidth that is allocated to each application will depend on the traffic patterns and the performance requirements of the application.</w:t>
      </w:r>
    </w:p>
    <w:p w14:paraId="44241AD2" w14:textId="77777777" w:rsidR="00FC73DE" w:rsidRDefault="00376A12">
      <w:pPr>
        <w:numPr>
          <w:ilvl w:val="0"/>
          <w:numId w:val="2"/>
        </w:numPr>
        <w:jc w:val="both"/>
      </w:pPr>
      <w:r>
        <w:t>TFS will monitor the network traffic. This is important to ensure that the bandwidth that is allocated to gaming applications is not being used by other applications.</w:t>
      </w:r>
    </w:p>
    <w:p w14:paraId="44241AD3" w14:textId="77777777" w:rsidR="00FC73DE" w:rsidRDefault="00376A12">
      <w:pPr>
        <w:jc w:val="both"/>
      </w:pPr>
      <w:r>
        <w:t>Here are some additional considerations for network resource allocation for gaming using MEC BWM and TeraFlowSDN:</w:t>
      </w:r>
    </w:p>
    <w:p w14:paraId="44241AD4" w14:textId="77777777" w:rsidR="00FC73DE" w:rsidRDefault="00376A12">
      <w:pPr>
        <w:numPr>
          <w:ilvl w:val="0"/>
          <w:numId w:val="1"/>
        </w:numPr>
        <w:jc w:val="both"/>
      </w:pPr>
      <w:r>
        <w:t>The amount of bandwidth that is allocated to gaming applications will depend on the type of game and the number of users. For example, a multiplayer game that requires real-time communication will need more bandwidth than a single-player game.</w:t>
      </w:r>
    </w:p>
    <w:p w14:paraId="44241AD5" w14:textId="77777777" w:rsidR="00FC73DE" w:rsidRDefault="00376A12">
      <w:pPr>
        <w:numPr>
          <w:ilvl w:val="0"/>
          <w:numId w:val="1"/>
        </w:numPr>
        <w:jc w:val="both"/>
      </w:pPr>
      <w:r>
        <w:t>The location of the gaming applications will also need to be considered. If the gaming applications are hosted in the cloud, then the bandwidth that is allocated to them will need to be sufficient to support the round-trip latency between the user and the cloud.</w:t>
      </w:r>
    </w:p>
    <w:p w14:paraId="44241AD6" w14:textId="77777777" w:rsidR="00FC73DE" w:rsidRDefault="00376A12">
      <w:pPr>
        <w:numPr>
          <w:ilvl w:val="0"/>
          <w:numId w:val="1"/>
        </w:numPr>
        <w:jc w:val="both"/>
      </w:pPr>
      <w:r>
        <w:t>The network traffic flows will need to be monitored to ensure that the bandwidth that is allocated to gaming applications is not being used by other applications. If the bandwidth is being used by other applications, then the policies that were set up in step 2 will need to be adjusted.</w:t>
      </w:r>
    </w:p>
    <w:p w14:paraId="44241AD7" w14:textId="77777777" w:rsidR="00FC73DE" w:rsidRDefault="00376A12">
      <w:pPr>
        <w:jc w:val="both"/>
      </w:pPr>
      <w:r>
        <w:t>Overall, MEC BWM and TeraFlowSDN can be a valuable tool for operators who want to provide a dedicated gaming experience for their users. By carefully allocating bandwidth to gaming applications, operators can improve the gaming experience for users and reduce congestion on the network.</w:t>
      </w:r>
    </w:p>
    <w:p w14:paraId="44241AD8" w14:textId="77777777" w:rsidR="00FC73DE" w:rsidRDefault="00376A12">
      <w:pPr>
        <w:pStyle w:val="Heading2"/>
      </w:pPr>
      <w:bookmarkStart w:id="11" w:name="_heading=h.17dp8vu" w:colFirst="0" w:colLast="0"/>
      <w:bookmarkEnd w:id="11"/>
      <w:r>
        <w:t>2.3</w:t>
      </w:r>
      <w:r>
        <w:tab/>
        <w:t>Additional information</w:t>
      </w:r>
    </w:p>
    <w:p w14:paraId="44241AD9" w14:textId="77777777" w:rsidR="00FC73DE" w:rsidRDefault="00773EDA">
      <w:r>
        <w:t>…</w:t>
      </w:r>
    </w:p>
    <w:sectPr w:rsidR="00FC73D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F330C"/>
    <w:multiLevelType w:val="multilevel"/>
    <w:tmpl w:val="2410EF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13259B"/>
    <w:multiLevelType w:val="multilevel"/>
    <w:tmpl w:val="A8BA943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DE"/>
    <w:rsid w:val="00202929"/>
    <w:rsid w:val="00376A12"/>
    <w:rsid w:val="00395777"/>
    <w:rsid w:val="003C711B"/>
    <w:rsid w:val="004129B9"/>
    <w:rsid w:val="005943AB"/>
    <w:rsid w:val="00730705"/>
    <w:rsid w:val="00773EDA"/>
    <w:rsid w:val="007B5022"/>
    <w:rsid w:val="008E4B43"/>
    <w:rsid w:val="008E6190"/>
    <w:rsid w:val="00916CDC"/>
    <w:rsid w:val="00A43928"/>
    <w:rsid w:val="00C4619A"/>
    <w:rsid w:val="00C940ED"/>
    <w:rsid w:val="00C96C04"/>
    <w:rsid w:val="00D3620C"/>
    <w:rsid w:val="00D43B61"/>
    <w:rsid w:val="00DC18F4"/>
    <w:rsid w:val="00EB173B"/>
    <w:rsid w:val="00F408D0"/>
    <w:rsid w:val="00FC73DE"/>
    <w:rsid w:val="00FE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1A4E"/>
  <w15:docId w15:val="{59C79B39-A659-4EA2-BC36-44B8AF2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E2"/>
    <w:pPr>
      <w:overflowPunct w:val="0"/>
      <w:autoSpaceDE w:val="0"/>
      <w:autoSpaceDN w:val="0"/>
      <w:adjustRightInd w:val="0"/>
      <w:textAlignment w:val="baseline"/>
    </w:pPr>
  </w:style>
  <w:style w:type="paragraph" w:styleId="Heading1">
    <w:name w:val="heading 1"/>
    <w:next w:val="Normal"/>
    <w:link w:val="Heading1Char"/>
    <w:qFormat/>
    <w:rsid w:val="00DD43E2"/>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D43E2"/>
    <w:pPr>
      <w:pBdr>
        <w:top w:val="none" w:sz="0" w:space="0" w:color="auto"/>
      </w:pBdr>
      <w:spacing w:before="180"/>
      <w:outlineLvl w:val="1"/>
    </w:pPr>
    <w:rPr>
      <w:sz w:val="32"/>
    </w:rPr>
  </w:style>
  <w:style w:type="paragraph" w:styleId="Heading3">
    <w:name w:val="heading 3"/>
    <w:basedOn w:val="Heading2"/>
    <w:next w:val="Normal"/>
    <w:link w:val="Heading3Char"/>
    <w:qFormat/>
    <w:rsid w:val="00DD43E2"/>
    <w:pPr>
      <w:spacing w:before="120"/>
      <w:outlineLvl w:val="2"/>
    </w:pPr>
    <w:rPr>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8">
    <w:name w:val="heading 8"/>
    <w:basedOn w:val="Heading1"/>
    <w:next w:val="Normal"/>
    <w:link w:val="Heading8Char"/>
    <w:qFormat/>
    <w:rsid w:val="00DD43E2"/>
    <w:pPr>
      <w:ind w:left="0" w:firstLine="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sid w:val="00DD43E2"/>
    <w:rPr>
      <w:rFonts w:ascii="Arial" w:eastAsia="Times New Roman" w:hAnsi="Arial" w:cs="Times New Roman"/>
      <w:sz w:val="36"/>
      <w:szCs w:val="20"/>
    </w:rPr>
  </w:style>
  <w:style w:type="character" w:customStyle="1" w:styleId="Heading2Char">
    <w:name w:val="Heading 2 Char"/>
    <w:link w:val="Heading2"/>
    <w:rsid w:val="00DD43E2"/>
    <w:rPr>
      <w:rFonts w:ascii="Arial" w:eastAsia="Times New Roman" w:hAnsi="Arial" w:cs="Times New Roman"/>
      <w:sz w:val="32"/>
      <w:szCs w:val="20"/>
    </w:rPr>
  </w:style>
  <w:style w:type="character" w:customStyle="1" w:styleId="Heading3Char">
    <w:name w:val="Heading 3 Char"/>
    <w:link w:val="Heading3"/>
    <w:rsid w:val="00DD43E2"/>
    <w:rPr>
      <w:rFonts w:ascii="Arial" w:eastAsia="Times New Roman" w:hAnsi="Arial" w:cs="Times New Roman"/>
      <w:sz w:val="28"/>
      <w:szCs w:val="20"/>
    </w:rPr>
  </w:style>
  <w:style w:type="character" w:customStyle="1" w:styleId="Heading8Char">
    <w:name w:val="Heading 8 Char"/>
    <w:link w:val="Heading8"/>
    <w:rsid w:val="00DD43E2"/>
    <w:rPr>
      <w:rFonts w:ascii="Arial" w:eastAsia="Times New Roman" w:hAnsi="Arial" w:cs="Times New Roman"/>
      <w:sz w:val="36"/>
      <w:szCs w:val="20"/>
    </w:rPr>
  </w:style>
  <w:style w:type="paragraph" w:customStyle="1" w:styleId="TAL">
    <w:name w:val="TAL"/>
    <w:basedOn w:val="Normal"/>
    <w:link w:val="TALChar"/>
    <w:rsid w:val="00DD43E2"/>
    <w:pPr>
      <w:keepNext/>
      <w:keepLines/>
      <w:spacing w:after="0"/>
    </w:pPr>
    <w:rPr>
      <w:rFonts w:ascii="Arial" w:hAnsi="Arial"/>
      <w:sz w:val="18"/>
    </w:rPr>
  </w:style>
  <w:style w:type="paragraph" w:customStyle="1" w:styleId="TAH">
    <w:name w:val="TAH"/>
    <w:basedOn w:val="Normal"/>
    <w:rsid w:val="00DD43E2"/>
    <w:pPr>
      <w:keepNext/>
      <w:keepLines/>
      <w:spacing w:after="0"/>
      <w:jc w:val="center"/>
    </w:pPr>
    <w:rPr>
      <w:rFonts w:ascii="Arial" w:hAnsi="Arial"/>
      <w:b/>
      <w:sz w:val="18"/>
    </w:rPr>
  </w:style>
  <w:style w:type="paragraph" w:customStyle="1" w:styleId="TAN">
    <w:name w:val="TAN"/>
    <w:basedOn w:val="TAL"/>
    <w:rsid w:val="00DD43E2"/>
    <w:pPr>
      <w:ind w:left="851" w:hanging="851"/>
    </w:pPr>
  </w:style>
  <w:style w:type="character" w:customStyle="1" w:styleId="TALChar">
    <w:name w:val="TAL Char"/>
    <w:link w:val="TAL"/>
    <w:locked/>
    <w:rsid w:val="00DD43E2"/>
    <w:rPr>
      <w:rFonts w:ascii="Arial" w:eastAsia="Times New Roman" w:hAnsi="Arial" w:cs="Times New Roman"/>
      <w:sz w:val="18"/>
      <w:szCs w:val="20"/>
    </w:rPr>
  </w:style>
  <w:style w:type="character" w:styleId="Hyperlink">
    <w:name w:val="Hyperlink"/>
    <w:basedOn w:val="DefaultParagraphFont"/>
    <w:uiPriority w:val="99"/>
    <w:unhideWhenUsed/>
    <w:rsid w:val="00C34E48"/>
    <w:rPr>
      <w:color w:val="0563C1" w:themeColor="hyperlink"/>
      <w:u w:val="single"/>
    </w:rPr>
  </w:style>
  <w:style w:type="character" w:customStyle="1" w:styleId="Mencisenseresoldre1">
    <w:name w:val="Menció sense resoldre1"/>
    <w:basedOn w:val="DefaultParagraphFont"/>
    <w:uiPriority w:val="99"/>
    <w:semiHidden/>
    <w:unhideWhenUsed/>
    <w:rsid w:val="00C34E4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115" w:type="dxa"/>
      </w:tblCellMar>
    </w:tblPr>
  </w:style>
  <w:style w:type="table" w:customStyle="1" w:styleId="a0">
    <w:basedOn w:val="TableNormal"/>
    <w:tblPr>
      <w:tblStyleRowBandSize w:val="1"/>
      <w:tblStyleColBandSize w:val="1"/>
      <w:tblCellMar>
        <w:left w:w="28" w:type="dxa"/>
        <w:right w:w="115" w:type="dxa"/>
      </w:tblCellMar>
    </w:tblPr>
  </w:style>
  <w:style w:type="table" w:customStyle="1" w:styleId="a1">
    <w:basedOn w:val="TableNormal"/>
    <w:tblPr>
      <w:tblStyleRowBandSize w:val="1"/>
      <w:tblStyleColBandSize w:val="1"/>
      <w:tblCellMar>
        <w:left w:w="28" w:type="dxa"/>
        <w:right w:w="115" w:type="dxa"/>
      </w:tblCellMar>
    </w:tblPr>
  </w:style>
  <w:style w:type="character" w:customStyle="1" w:styleId="UnresolvedMention">
    <w:name w:val="Unresolved Mention"/>
    <w:basedOn w:val="DefaultParagraphFont"/>
    <w:uiPriority w:val="99"/>
    <w:semiHidden/>
    <w:unhideWhenUsed/>
    <w:rsid w:val="0020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39993">
      <w:bodyDiv w:val="1"/>
      <w:marLeft w:val="0"/>
      <w:marRight w:val="0"/>
      <w:marTop w:val="0"/>
      <w:marBottom w:val="0"/>
      <w:divBdr>
        <w:top w:val="none" w:sz="0" w:space="0" w:color="auto"/>
        <w:left w:val="none" w:sz="0" w:space="0" w:color="auto"/>
        <w:bottom w:val="none" w:sz="0" w:space="0" w:color="auto"/>
        <w:right w:val="none" w:sz="0" w:space="0" w:color="auto"/>
      </w:divBdr>
    </w:div>
    <w:div w:id="1259752748">
      <w:bodyDiv w:val="1"/>
      <w:marLeft w:val="0"/>
      <w:marRight w:val="0"/>
      <w:marTop w:val="0"/>
      <w:marBottom w:val="0"/>
      <w:divBdr>
        <w:top w:val="none" w:sz="0" w:space="0" w:color="auto"/>
        <w:left w:val="none" w:sz="0" w:space="0" w:color="auto"/>
        <w:bottom w:val="none" w:sz="0" w:space="0" w:color="auto"/>
        <w:right w:val="none" w:sz="0" w:space="0" w:color="auto"/>
      </w:divBdr>
      <w:divsChild>
        <w:div w:id="1512329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ard.vilalta@cttc.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fcconference.org/en-us/home/submit-papers/topic-categories/" TargetMode="External"/><Relationship Id="rId5" Type="http://schemas.openxmlformats.org/officeDocument/2006/relationships/styles" Target="styles.xml"/><Relationship Id="rId10" Type="http://schemas.openxmlformats.org/officeDocument/2006/relationships/hyperlink" Target="mailto:joseantonio.ordonezlucena@telefonica.com" TargetMode="External"/><Relationship Id="rId4" Type="http://schemas.openxmlformats.org/officeDocument/2006/relationships/numbering" Target="numbering.xml"/><Relationship Id="rId9" Type="http://schemas.openxmlformats.org/officeDocument/2006/relationships/hyperlink" Target="mailto:diego.r.lopez@telefonica.com" TargetMode="Externa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Ec1Z2LuiRSKZ6FSHJrLwTPqAg==">CgMxLjAyCGguZ2pkZ3hzMgloLjMwajB6bGwyCWguMWZvYjl0ZTIJaC4zem55c2g3MgloLjJldDkycDAyCGgudHlqY3d0MgloLjNkeTZ2a20yCWguMXQzaDVzZjIJaC40ZDM0b2c4MgloLjJzOGV5bzEyCWguMTdkcDh2dTgAciExSTd0RzVhSnNLWjBpMVdpNGZQNzNMZExmaThDV2x2aUc=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DF436D760C02CE45B9F06AE701AE8B6B" ma:contentTypeVersion="12" ma:contentTypeDescription="Crear nuevo documento." ma:contentTypeScope="" ma:versionID="7679eeccbb7d254f5a0f6c6d92ffa2aa">
  <xsd:schema xmlns:xsd="http://www.w3.org/2001/XMLSchema" xmlns:xs="http://www.w3.org/2001/XMLSchema" xmlns:p="http://schemas.microsoft.com/office/2006/metadata/properties" xmlns:ns2="58362724-145f-45ce-a2c5-0ed2138e7565" xmlns:ns3="fec407ec-0b45-4ec3-afb9-7ca8fc587c51" targetNamespace="http://schemas.microsoft.com/office/2006/metadata/properties" ma:root="true" ma:fieldsID="569fa33d67009de8d06288b17bf57275" ns2:_="" ns3:_="">
    <xsd:import namespace="58362724-145f-45ce-a2c5-0ed2138e7565"/>
    <xsd:import namespace="fec407ec-0b45-4ec3-afb9-7ca8fc587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62724-145f-45ce-a2c5-0ed2138e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12bd4960-4a8b-4549-bf11-4a3256c4745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407ec-0b45-4ec3-afb9-7ca8fc587c5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5136e16-4308-411a-a4c0-ac63f250631f}" ma:internalName="TaxCatchAll" ma:showField="CatchAllData" ma:web="fec407ec-0b45-4ec3-afb9-7ca8fc587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61738-FD69-42B8-A02B-A4C0559232D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A0A4D07-B3EF-4886-A73E-E805110B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62724-145f-45ce-a2c5-0ed2138e7565"/>
    <ds:schemaRef ds:uri="fec407ec-0b45-4ec3-afb9-7ca8fc58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Almagia</dc:creator>
  <cp:lastModifiedBy>Microsoft account</cp:lastModifiedBy>
  <cp:revision>23</cp:revision>
  <dcterms:created xsi:type="dcterms:W3CDTF">2023-07-13T06:25:00Z</dcterms:created>
  <dcterms:modified xsi:type="dcterms:W3CDTF">2023-10-02T07:40:00Z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0x010100DF436D760C02CE45B9F06AE701AE8B6B</vt:lpwstr>
  </property>
</Properties>
</file>