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7153EDA1" w14:textId="77777777" w:rsidTr="00451055">
        <w:trPr>
          <w:trHeight w:hRule="exact" w:val="113"/>
        </w:trPr>
        <w:tc>
          <w:tcPr>
            <w:tcW w:w="9625" w:type="dxa"/>
            <w:gridSpan w:val="4"/>
            <w:tcBorders>
              <w:top w:val="single" w:sz="4" w:space="0" w:color="000000"/>
              <w:left w:val="nil"/>
              <w:bottom w:val="nil"/>
              <w:right w:val="nil"/>
            </w:tcBorders>
          </w:tcPr>
          <w:p w14:paraId="4D4BD5BF" w14:textId="77777777" w:rsidR="00D9435B" w:rsidRPr="002E5375" w:rsidRDefault="00D9435B" w:rsidP="00196D5B">
            <w:pPr>
              <w:tabs>
                <w:tab w:val="left" w:pos="1701"/>
              </w:tabs>
              <w:rPr>
                <w:rFonts w:cs="Arial"/>
                <w:b/>
                <w:color w:val="0000FF"/>
                <w:sz w:val="16"/>
                <w:szCs w:val="16"/>
              </w:rPr>
            </w:pPr>
          </w:p>
        </w:tc>
      </w:tr>
      <w:tr w:rsidR="00D9435B" w:rsidRPr="002A36EA" w14:paraId="7B53D31E" w14:textId="77777777" w:rsidTr="00451055">
        <w:tc>
          <w:tcPr>
            <w:tcW w:w="2152" w:type="dxa"/>
            <w:tcBorders>
              <w:top w:val="nil"/>
              <w:left w:val="nil"/>
              <w:bottom w:val="nil"/>
              <w:right w:val="nil"/>
            </w:tcBorders>
          </w:tcPr>
          <w:p w14:paraId="3BD0333F" w14:textId="77777777"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3D4AD82C" w14:textId="77777777" w:rsidR="00D9435B" w:rsidRPr="00D30669" w:rsidRDefault="0000203D" w:rsidP="004A50AB">
            <w:pPr>
              <w:rPr>
                <w:rFonts w:ascii="Arial" w:hAnsi="Arial" w:cs="Arial"/>
                <w:sz w:val="24"/>
                <w:szCs w:val="24"/>
              </w:rPr>
            </w:pPr>
            <w:r w:rsidRPr="00D30669">
              <w:rPr>
                <w:rFonts w:ascii="Arial" w:hAnsi="Arial" w:cs="Arial"/>
                <w:sz w:val="24"/>
                <w:szCs w:val="24"/>
              </w:rPr>
              <w:t>Edge Video Orchestration and Video Clip Replay via MEC</w:t>
            </w:r>
          </w:p>
        </w:tc>
      </w:tr>
      <w:tr w:rsidR="00D9435B" w:rsidRPr="00D21604" w14:paraId="03169728" w14:textId="77777777" w:rsidTr="00451055">
        <w:trPr>
          <w:trHeight w:val="140"/>
        </w:trPr>
        <w:tc>
          <w:tcPr>
            <w:tcW w:w="2152" w:type="dxa"/>
            <w:tcBorders>
              <w:top w:val="nil"/>
              <w:left w:val="nil"/>
              <w:bottom w:val="nil"/>
              <w:right w:val="nil"/>
            </w:tcBorders>
            <w:vAlign w:val="center"/>
          </w:tcPr>
          <w:p w14:paraId="59D71C82"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2C6D95BF" w14:textId="77777777" w:rsidR="00D9435B" w:rsidRPr="00D9435B" w:rsidRDefault="00D9435B" w:rsidP="00196D5B">
            <w:pPr>
              <w:rPr>
                <w:rFonts w:ascii="Arial" w:hAnsi="Arial" w:cs="Arial"/>
                <w:sz w:val="16"/>
              </w:rPr>
            </w:pPr>
          </w:p>
        </w:tc>
      </w:tr>
      <w:tr w:rsidR="00D9435B" w:rsidRPr="002A36EA" w14:paraId="5CB0CD6C" w14:textId="77777777" w:rsidTr="00451055">
        <w:tc>
          <w:tcPr>
            <w:tcW w:w="2152" w:type="dxa"/>
            <w:tcBorders>
              <w:top w:val="nil"/>
              <w:left w:val="nil"/>
              <w:bottom w:val="nil"/>
              <w:right w:val="nil"/>
            </w:tcBorders>
            <w:vAlign w:val="center"/>
          </w:tcPr>
          <w:p w14:paraId="14B19A0C" w14:textId="77777777"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7C6F80E5" w14:textId="77777777" w:rsidR="00D9435B" w:rsidRPr="00D9435B" w:rsidRDefault="002A474B" w:rsidP="00196D5B">
            <w:pPr>
              <w:rPr>
                <w:rFonts w:ascii="Arial" w:hAnsi="Arial" w:cs="Arial"/>
                <w:sz w:val="24"/>
              </w:rPr>
            </w:pPr>
            <w:r>
              <w:rPr>
                <w:rFonts w:ascii="Arial" w:hAnsi="Arial" w:cs="Arial"/>
                <w:sz w:val="24"/>
              </w:rPr>
              <w:t xml:space="preserve">Nokia </w:t>
            </w:r>
            <w:r w:rsidR="00592B7C">
              <w:rPr>
                <w:rFonts w:ascii="Arial" w:hAnsi="Arial" w:cs="Arial"/>
                <w:sz w:val="24"/>
              </w:rPr>
              <w:t xml:space="preserve">Networks </w:t>
            </w:r>
            <w:r>
              <w:rPr>
                <w:rFonts w:ascii="Arial" w:hAnsi="Arial" w:cs="Arial"/>
                <w:sz w:val="24"/>
              </w:rPr>
              <w:t>and Everything Everywhere</w:t>
            </w:r>
          </w:p>
        </w:tc>
      </w:tr>
      <w:tr w:rsidR="00FB3B7C" w:rsidRPr="00FF6B73" w14:paraId="4937739B" w14:textId="77777777" w:rsidTr="00451055">
        <w:tc>
          <w:tcPr>
            <w:tcW w:w="2152" w:type="dxa"/>
            <w:tcBorders>
              <w:top w:val="nil"/>
              <w:left w:val="nil"/>
              <w:bottom w:val="nil"/>
              <w:right w:val="nil"/>
            </w:tcBorders>
          </w:tcPr>
          <w:p w14:paraId="05C5885F" w14:textId="77777777"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060D59B7" w14:textId="77777777" w:rsidR="00FB3B7C" w:rsidRPr="00FF6B73" w:rsidRDefault="001A7E76" w:rsidP="00E85773">
            <w:pPr>
              <w:rPr>
                <w:rFonts w:ascii="Arial" w:hAnsi="Arial" w:cs="Arial"/>
                <w:sz w:val="24"/>
                <w:szCs w:val="24"/>
                <w:lang w:val="en-US"/>
              </w:rPr>
            </w:pPr>
            <w:bookmarkStart w:id="0" w:name="contact"/>
            <w:r w:rsidRPr="00FF6B73">
              <w:rPr>
                <w:rFonts w:ascii="Arial" w:hAnsi="Arial" w:cs="Arial"/>
                <w:bCs/>
                <w:szCs w:val="24"/>
                <w:lang w:val="en-US"/>
              </w:rPr>
              <w:t xml:space="preserve">Dirk Lindemeier, </w:t>
            </w:r>
            <w:r w:rsidR="00621FE6" w:rsidRPr="00FF6B73">
              <w:rPr>
                <w:rFonts w:ascii="Arial" w:hAnsi="Arial" w:cs="Arial"/>
                <w:bCs/>
                <w:szCs w:val="24"/>
                <w:lang w:val="en-US"/>
              </w:rPr>
              <w:t>Uwe Rauschenbach</w:t>
            </w:r>
            <w:r w:rsidR="00FF6B73" w:rsidRPr="00FF6B73">
              <w:rPr>
                <w:rFonts w:ascii="Arial" w:hAnsi="Arial" w:cs="Arial"/>
                <w:bCs/>
                <w:szCs w:val="24"/>
                <w:lang w:val="en-US"/>
              </w:rPr>
              <w:t xml:space="preserve"> (Nokia Networks)</w:t>
            </w:r>
            <w:r w:rsidR="00FF6B73">
              <w:rPr>
                <w:rFonts w:ascii="Arial" w:hAnsi="Arial" w:cs="Arial"/>
                <w:bCs/>
                <w:szCs w:val="24"/>
                <w:lang w:val="en-US"/>
              </w:rPr>
              <w:t>,</w:t>
            </w:r>
            <w:r w:rsidR="00FF6B73" w:rsidRPr="00FF6B73">
              <w:rPr>
                <w:rFonts w:ascii="Arial" w:hAnsi="Arial" w:cs="Arial"/>
                <w:bCs/>
                <w:szCs w:val="24"/>
                <w:lang w:val="en-US"/>
              </w:rPr>
              <w:br/>
            </w:r>
            <w:r w:rsidRPr="00FF6B73">
              <w:rPr>
                <w:rFonts w:ascii="Arial" w:hAnsi="Arial" w:cs="Arial"/>
                <w:bCs/>
                <w:szCs w:val="24"/>
                <w:lang w:val="en-US"/>
              </w:rPr>
              <w:t>Matt Stagg</w:t>
            </w:r>
            <w:bookmarkEnd w:id="0"/>
            <w:r w:rsidR="00621FE6" w:rsidRPr="00FF6B73">
              <w:rPr>
                <w:rFonts w:ascii="Arial" w:hAnsi="Arial" w:cs="Arial"/>
                <w:bCs/>
                <w:szCs w:val="24"/>
                <w:lang w:val="en-US"/>
              </w:rPr>
              <w:t xml:space="preserve"> (Everything Everywhere)</w:t>
            </w:r>
          </w:p>
        </w:tc>
      </w:tr>
      <w:tr w:rsidR="00FB3B7C" w:rsidRPr="00FF6B73" w14:paraId="3E3348D0" w14:textId="77777777" w:rsidTr="00451055">
        <w:tc>
          <w:tcPr>
            <w:tcW w:w="2152" w:type="dxa"/>
            <w:tcBorders>
              <w:top w:val="nil"/>
              <w:left w:val="nil"/>
              <w:bottom w:val="nil"/>
              <w:right w:val="nil"/>
            </w:tcBorders>
            <w:tcMar>
              <w:left w:w="0" w:type="dxa"/>
              <w:right w:w="85" w:type="dxa"/>
            </w:tcMar>
          </w:tcPr>
          <w:p w14:paraId="6F5AEF00" w14:textId="77777777" w:rsidR="00FB3B7C" w:rsidRPr="00FF6B73" w:rsidRDefault="00FB3B7C" w:rsidP="00832E39">
            <w:pPr>
              <w:tabs>
                <w:tab w:val="left" w:pos="1701"/>
              </w:tabs>
              <w:ind w:left="-250" w:firstLine="250"/>
              <w:jc w:val="right"/>
              <w:rPr>
                <w:rFonts w:asciiTheme="minorHAnsi" w:hAnsiTheme="minorHAnsi" w:cstheme="minorHAnsi"/>
                <w:lang w:val="en-US"/>
              </w:rPr>
            </w:pPr>
          </w:p>
        </w:tc>
        <w:tc>
          <w:tcPr>
            <w:tcW w:w="7473" w:type="dxa"/>
            <w:gridSpan w:val="3"/>
            <w:tcBorders>
              <w:top w:val="nil"/>
              <w:left w:val="nil"/>
              <w:bottom w:val="nil"/>
              <w:right w:val="nil"/>
            </w:tcBorders>
          </w:tcPr>
          <w:p w14:paraId="0E8FD035" w14:textId="77777777" w:rsidR="00FB3B7C" w:rsidRPr="00FF6B73" w:rsidRDefault="00FB3B7C" w:rsidP="00196D5B">
            <w:pPr>
              <w:rPr>
                <w:rFonts w:ascii="Arial" w:hAnsi="Arial" w:cs="Arial"/>
                <w:sz w:val="24"/>
                <w:lang w:val="en-US"/>
              </w:rPr>
            </w:pPr>
          </w:p>
        </w:tc>
      </w:tr>
      <w:tr w:rsidR="00D9435B" w:rsidRPr="002A36EA" w14:paraId="3C645198" w14:textId="77777777" w:rsidTr="00451055">
        <w:tc>
          <w:tcPr>
            <w:tcW w:w="2152" w:type="dxa"/>
            <w:tcBorders>
              <w:top w:val="nil"/>
              <w:left w:val="nil"/>
              <w:bottom w:val="nil"/>
              <w:right w:val="nil"/>
            </w:tcBorders>
            <w:tcMar>
              <w:left w:w="0" w:type="dxa"/>
              <w:right w:w="85" w:type="dxa"/>
            </w:tcMar>
          </w:tcPr>
          <w:p w14:paraId="507D18F2"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6A32DD65" w14:textId="77777777" w:rsidR="00D9435B" w:rsidRPr="0091037B" w:rsidRDefault="00D9435B" w:rsidP="00E85773">
            <w:pPr>
              <w:rPr>
                <w:rFonts w:ascii="Arial" w:hAnsi="Arial" w:cs="Arial"/>
                <w:sz w:val="24"/>
              </w:rPr>
            </w:pPr>
            <w:bookmarkStart w:id="1" w:name="to"/>
            <w:r w:rsidRPr="0091037B">
              <w:rPr>
                <w:rFonts w:ascii="Arial" w:hAnsi="Arial" w:cs="Arial"/>
                <w:sz w:val="24"/>
              </w:rPr>
              <w:t>MEC IEG</w:t>
            </w:r>
            <w:bookmarkEnd w:id="1"/>
          </w:p>
        </w:tc>
      </w:tr>
      <w:tr w:rsidR="00D9435B" w:rsidRPr="00F85372" w14:paraId="1C8B480E" w14:textId="77777777" w:rsidTr="00451055">
        <w:tc>
          <w:tcPr>
            <w:tcW w:w="2152" w:type="dxa"/>
            <w:tcBorders>
              <w:top w:val="nil"/>
              <w:left w:val="nil"/>
              <w:bottom w:val="nil"/>
              <w:right w:val="nil"/>
            </w:tcBorders>
          </w:tcPr>
          <w:p w14:paraId="6F9B0F41"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2AA5250E" w14:textId="77777777" w:rsidR="00D9435B" w:rsidRPr="00D9435B" w:rsidRDefault="00D9435B" w:rsidP="00196D5B">
            <w:pPr>
              <w:rPr>
                <w:rFonts w:ascii="Arial" w:hAnsi="Arial" w:cs="Arial"/>
                <w:sz w:val="16"/>
              </w:rPr>
            </w:pPr>
          </w:p>
        </w:tc>
      </w:tr>
      <w:tr w:rsidR="00D9435B" w:rsidRPr="002A36EA" w14:paraId="0B464A4C" w14:textId="77777777" w:rsidTr="00451055">
        <w:trPr>
          <w:trHeight w:val="182"/>
        </w:trPr>
        <w:tc>
          <w:tcPr>
            <w:tcW w:w="2152" w:type="dxa"/>
            <w:tcBorders>
              <w:top w:val="nil"/>
              <w:left w:val="nil"/>
              <w:bottom w:val="nil"/>
              <w:right w:val="single" w:sz="4" w:space="0" w:color="000000"/>
            </w:tcBorders>
          </w:tcPr>
          <w:p w14:paraId="2657FCE1"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188D1BA2" w14:textId="77777777"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7869CBCC" w14:textId="77777777" w:rsidR="00D9435B" w:rsidRPr="00516885" w:rsidRDefault="00D9435B" w:rsidP="00196D5B">
            <w:pPr>
              <w:tabs>
                <w:tab w:val="left" w:pos="1701"/>
              </w:tabs>
              <w:jc w:val="center"/>
              <w:rPr>
                <w:rFonts w:ascii="Arial" w:hAnsi="Arial" w:cs="Arial"/>
                <w:b/>
              </w:rPr>
            </w:pPr>
            <w:bookmarkStart w:id="2" w:name="forDecision"/>
            <w:r w:rsidRPr="00516885">
              <w:rPr>
                <w:rFonts w:ascii="Arial" w:hAnsi="Arial" w:cs="Arial"/>
                <w:b/>
              </w:rPr>
              <w:t>X</w:t>
            </w:r>
            <w:bookmarkEnd w:id="2"/>
          </w:p>
        </w:tc>
        <w:tc>
          <w:tcPr>
            <w:tcW w:w="5891" w:type="dxa"/>
            <w:tcBorders>
              <w:top w:val="nil"/>
              <w:left w:val="single" w:sz="4" w:space="0" w:color="000000"/>
              <w:bottom w:val="nil"/>
              <w:right w:val="nil"/>
            </w:tcBorders>
            <w:vAlign w:val="center"/>
          </w:tcPr>
          <w:p w14:paraId="0DBC48EC" w14:textId="77777777" w:rsidR="00D9435B" w:rsidRPr="00D9435B" w:rsidRDefault="00D9435B" w:rsidP="00D9435B">
            <w:pPr>
              <w:tabs>
                <w:tab w:val="left" w:pos="1701"/>
              </w:tabs>
              <w:rPr>
                <w:vertAlign w:val="superscript"/>
              </w:rPr>
            </w:pPr>
          </w:p>
        </w:tc>
      </w:tr>
      <w:tr w:rsidR="00D9435B" w:rsidRPr="002A36EA" w14:paraId="732A2AAA" w14:textId="77777777" w:rsidTr="00451055">
        <w:tc>
          <w:tcPr>
            <w:tcW w:w="2152" w:type="dxa"/>
            <w:tcBorders>
              <w:top w:val="nil"/>
              <w:left w:val="nil"/>
              <w:bottom w:val="nil"/>
              <w:right w:val="single" w:sz="4" w:space="0" w:color="000000"/>
            </w:tcBorders>
          </w:tcPr>
          <w:p w14:paraId="229D00CE" w14:textId="77777777"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7C34A557" w14:textId="77777777"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0AB7F7E4" w14:textId="77777777" w:rsidR="00D9435B" w:rsidRPr="00516885" w:rsidRDefault="00D9435B" w:rsidP="00196D5B">
            <w:pPr>
              <w:tabs>
                <w:tab w:val="left" w:pos="1701"/>
              </w:tabs>
              <w:jc w:val="center"/>
              <w:rPr>
                <w:rFonts w:ascii="Arial" w:hAnsi="Arial" w:cs="Arial"/>
                <w:b/>
              </w:rPr>
            </w:pPr>
            <w:bookmarkStart w:id="3" w:name="forDiscussion"/>
            <w:bookmarkEnd w:id="3"/>
          </w:p>
        </w:tc>
        <w:tc>
          <w:tcPr>
            <w:tcW w:w="5891" w:type="dxa"/>
            <w:tcBorders>
              <w:top w:val="nil"/>
              <w:left w:val="single" w:sz="4" w:space="0" w:color="000000"/>
              <w:bottom w:val="nil"/>
              <w:right w:val="nil"/>
            </w:tcBorders>
            <w:vAlign w:val="center"/>
          </w:tcPr>
          <w:p w14:paraId="4EAD8DEA" w14:textId="77777777" w:rsidR="00D9435B" w:rsidRPr="00D9435B" w:rsidRDefault="00D9435B" w:rsidP="00D9435B">
            <w:pPr>
              <w:rPr>
                <w:vertAlign w:val="superscript"/>
              </w:rPr>
            </w:pPr>
          </w:p>
        </w:tc>
      </w:tr>
      <w:tr w:rsidR="00D9435B" w:rsidRPr="002A36EA" w14:paraId="23D69997" w14:textId="77777777" w:rsidTr="00451055">
        <w:tc>
          <w:tcPr>
            <w:tcW w:w="2152" w:type="dxa"/>
            <w:tcBorders>
              <w:top w:val="nil"/>
              <w:left w:val="nil"/>
              <w:bottom w:val="nil"/>
              <w:right w:val="single" w:sz="4" w:space="0" w:color="000000"/>
            </w:tcBorders>
          </w:tcPr>
          <w:p w14:paraId="33B3A1BC" w14:textId="77777777"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0D508B62" w14:textId="77777777"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65FFD929" w14:textId="77777777" w:rsidR="00D9435B" w:rsidRPr="00516885" w:rsidRDefault="00D9435B" w:rsidP="00196D5B">
            <w:pPr>
              <w:tabs>
                <w:tab w:val="left" w:pos="1701"/>
              </w:tabs>
              <w:jc w:val="center"/>
              <w:rPr>
                <w:rFonts w:ascii="Arial" w:hAnsi="Arial" w:cs="Arial"/>
                <w:b/>
              </w:rPr>
            </w:pPr>
            <w:bookmarkStart w:id="4" w:name="forInformation"/>
            <w:bookmarkEnd w:id="4"/>
          </w:p>
        </w:tc>
        <w:tc>
          <w:tcPr>
            <w:tcW w:w="5891" w:type="dxa"/>
            <w:tcBorders>
              <w:top w:val="nil"/>
              <w:left w:val="single" w:sz="4" w:space="0" w:color="000000"/>
              <w:bottom w:val="nil"/>
              <w:right w:val="nil"/>
            </w:tcBorders>
            <w:vAlign w:val="center"/>
          </w:tcPr>
          <w:p w14:paraId="233ADA54" w14:textId="77777777" w:rsidR="00D9435B" w:rsidRPr="00D9435B" w:rsidRDefault="00D9435B" w:rsidP="00196D5B">
            <w:pPr>
              <w:tabs>
                <w:tab w:val="left" w:pos="1701"/>
              </w:tabs>
              <w:ind w:left="176" w:hanging="176"/>
              <w:rPr>
                <w:vertAlign w:val="superscript"/>
              </w:rPr>
            </w:pPr>
          </w:p>
        </w:tc>
      </w:tr>
      <w:tr w:rsidR="00776B64" w:rsidRPr="002A36EA" w14:paraId="4B55D7A7" w14:textId="77777777" w:rsidTr="00451055">
        <w:trPr>
          <w:trHeight w:hRule="exact" w:val="170"/>
        </w:trPr>
        <w:tc>
          <w:tcPr>
            <w:tcW w:w="2152" w:type="dxa"/>
            <w:tcBorders>
              <w:top w:val="nil"/>
              <w:left w:val="nil"/>
              <w:bottom w:val="nil"/>
              <w:right w:val="nil"/>
            </w:tcBorders>
            <w:vAlign w:val="center"/>
          </w:tcPr>
          <w:p w14:paraId="7ACEFDDC" w14:textId="77777777"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71EDD01D" w14:textId="77777777" w:rsidR="00776B64" w:rsidRPr="00D9435B" w:rsidRDefault="00776B64" w:rsidP="00D9435B">
            <w:pPr>
              <w:ind w:left="93"/>
              <w:rPr>
                <w:rFonts w:ascii="Arial" w:hAnsi="Arial" w:cs="Arial"/>
              </w:rPr>
            </w:pPr>
          </w:p>
        </w:tc>
      </w:tr>
      <w:tr w:rsidR="00D9435B" w:rsidRPr="002A36EA" w14:paraId="1AC46AF4" w14:textId="77777777" w:rsidTr="00451055">
        <w:tc>
          <w:tcPr>
            <w:tcW w:w="2152" w:type="dxa"/>
            <w:tcBorders>
              <w:top w:val="nil"/>
              <w:left w:val="nil"/>
              <w:bottom w:val="nil"/>
              <w:right w:val="nil"/>
            </w:tcBorders>
            <w:vAlign w:val="center"/>
          </w:tcPr>
          <w:p w14:paraId="373F09E5" w14:textId="77777777"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086B6312" w14:textId="09123EDB" w:rsidR="00D9435B" w:rsidRPr="00D9435B" w:rsidRDefault="00D9435B" w:rsidP="005E3A8F">
            <w:pPr>
              <w:ind w:left="93"/>
              <w:rPr>
                <w:rFonts w:ascii="Arial" w:hAnsi="Arial" w:cs="Arial"/>
                <w:sz w:val="24"/>
              </w:rPr>
            </w:pPr>
            <w:bookmarkStart w:id="5" w:name="date"/>
            <w:r w:rsidRPr="00D9435B">
              <w:rPr>
                <w:rFonts w:ascii="Arial" w:hAnsi="Arial" w:cs="Arial"/>
              </w:rPr>
              <w:t>2015-</w:t>
            </w:r>
            <w:bookmarkEnd w:id="5"/>
            <w:r w:rsidR="00621FE6">
              <w:rPr>
                <w:rFonts w:ascii="Arial" w:hAnsi="Arial" w:cs="Arial"/>
              </w:rPr>
              <w:t>1</w:t>
            </w:r>
            <w:r w:rsidR="005E3A8F">
              <w:rPr>
                <w:rFonts w:ascii="Arial" w:hAnsi="Arial" w:cs="Arial"/>
              </w:rPr>
              <w:t>1</w:t>
            </w:r>
            <w:r w:rsidR="00621FE6">
              <w:rPr>
                <w:rFonts w:ascii="Arial" w:hAnsi="Arial" w:cs="Arial"/>
              </w:rPr>
              <w:t>-2</w:t>
            </w:r>
            <w:r w:rsidR="005E3A8F">
              <w:rPr>
                <w:rFonts w:ascii="Arial" w:hAnsi="Arial" w:cs="Arial"/>
              </w:rPr>
              <w:t>2</w:t>
            </w:r>
          </w:p>
        </w:tc>
      </w:tr>
      <w:tr w:rsidR="00D9435B" w:rsidRPr="00D21604" w14:paraId="046C7279" w14:textId="77777777" w:rsidTr="00451055">
        <w:trPr>
          <w:trHeight w:hRule="exact" w:val="170"/>
        </w:trPr>
        <w:tc>
          <w:tcPr>
            <w:tcW w:w="2152" w:type="dxa"/>
            <w:tcBorders>
              <w:top w:val="nil"/>
              <w:left w:val="nil"/>
              <w:bottom w:val="nil"/>
              <w:right w:val="nil"/>
            </w:tcBorders>
          </w:tcPr>
          <w:p w14:paraId="7C47DC11" w14:textId="77777777"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6BD278AD" w14:textId="77777777" w:rsidR="00D9435B" w:rsidRPr="00D9435B" w:rsidRDefault="00D9435B" w:rsidP="00196D5B">
            <w:pPr>
              <w:ind w:left="57"/>
              <w:rPr>
                <w:rFonts w:ascii="Arial" w:hAnsi="Arial" w:cs="Arial"/>
                <w:sz w:val="16"/>
              </w:rPr>
            </w:pPr>
          </w:p>
        </w:tc>
      </w:tr>
      <w:tr w:rsidR="00D9435B" w:rsidRPr="002A36EA" w14:paraId="364DB476" w14:textId="77777777" w:rsidTr="00451055">
        <w:tc>
          <w:tcPr>
            <w:tcW w:w="2152" w:type="dxa"/>
            <w:tcBorders>
              <w:top w:val="nil"/>
              <w:left w:val="nil"/>
              <w:bottom w:val="nil"/>
              <w:right w:val="nil"/>
            </w:tcBorders>
          </w:tcPr>
          <w:p w14:paraId="4F70358B"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1EC2E812" w14:textId="77777777" w:rsidR="00D9435B" w:rsidRPr="00D9435B" w:rsidRDefault="00D9435B" w:rsidP="001C42E5">
            <w:pPr>
              <w:rPr>
                <w:rFonts w:ascii="Arial" w:hAnsi="Arial" w:cs="Arial"/>
              </w:rPr>
            </w:pPr>
            <w:bookmarkStart w:id="6" w:name="agendaItem"/>
            <w:bookmarkEnd w:id="6"/>
          </w:p>
        </w:tc>
      </w:tr>
      <w:tr w:rsidR="00D9435B" w:rsidRPr="002A36EA" w14:paraId="4E93B31E" w14:textId="77777777" w:rsidTr="00451055">
        <w:tc>
          <w:tcPr>
            <w:tcW w:w="2152" w:type="dxa"/>
            <w:tcBorders>
              <w:top w:val="nil"/>
              <w:left w:val="nil"/>
              <w:bottom w:val="nil"/>
              <w:right w:val="nil"/>
            </w:tcBorders>
          </w:tcPr>
          <w:p w14:paraId="5E10D600" w14:textId="77777777"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46EEB49D" w14:textId="77777777" w:rsidR="00D9435B" w:rsidRPr="00422891" w:rsidRDefault="001D62B3" w:rsidP="00E440FE">
            <w:pPr>
              <w:rPr>
                <w:rFonts w:ascii="Arial" w:hAnsi="Arial" w:cs="Arial"/>
              </w:rPr>
            </w:pPr>
            <w:r>
              <w:rPr>
                <w:rFonts w:ascii="Arial" w:hAnsi="Arial" w:cs="Arial"/>
              </w:rPr>
              <w:t xml:space="preserve"> </w:t>
            </w:r>
          </w:p>
        </w:tc>
      </w:tr>
      <w:tr w:rsidR="00D9435B" w:rsidRPr="002E5375" w14:paraId="4C2378A9" w14:textId="77777777" w:rsidTr="00451055">
        <w:trPr>
          <w:trHeight w:hRule="exact" w:val="113"/>
        </w:trPr>
        <w:tc>
          <w:tcPr>
            <w:tcW w:w="9625" w:type="dxa"/>
            <w:gridSpan w:val="4"/>
            <w:tcBorders>
              <w:top w:val="nil"/>
              <w:left w:val="nil"/>
              <w:bottom w:val="single" w:sz="4" w:space="0" w:color="000000"/>
              <w:right w:val="nil"/>
            </w:tcBorders>
          </w:tcPr>
          <w:p w14:paraId="134B55B3" w14:textId="77777777" w:rsidR="00D9435B" w:rsidRPr="002E5375" w:rsidRDefault="00D9435B" w:rsidP="00196D5B">
            <w:pPr>
              <w:tabs>
                <w:tab w:val="left" w:pos="1701"/>
              </w:tabs>
              <w:ind w:left="-249" w:firstLine="249"/>
              <w:rPr>
                <w:sz w:val="16"/>
                <w:szCs w:val="16"/>
              </w:rPr>
            </w:pPr>
          </w:p>
        </w:tc>
      </w:tr>
    </w:tbl>
    <w:p w14:paraId="07D8D3EC" w14:textId="77777777" w:rsidR="00D9435B" w:rsidRDefault="00D9435B" w:rsidP="00E24490"/>
    <w:p w14:paraId="2446C71F" w14:textId="77777777" w:rsidR="007833A7" w:rsidRPr="00866086" w:rsidRDefault="007833A7" w:rsidP="00E24490"/>
    <w:p w14:paraId="4A51C78E" w14:textId="77777777"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7" w:name="DecisionOrAction"/>
      <w:r w:rsidR="00DB251F" w:rsidRPr="007017A1">
        <w:rPr>
          <w:rFonts w:ascii="Arial" w:hAnsi="Arial" w:cs="Arial"/>
          <w:sz w:val="22"/>
          <w:szCs w:val="24"/>
        </w:rPr>
        <w:t>Please approve</w:t>
      </w:r>
      <w:bookmarkEnd w:id="7"/>
    </w:p>
    <w:p w14:paraId="3E615D84" w14:textId="77777777" w:rsidR="008D5477" w:rsidRDefault="008D5477" w:rsidP="00E24490">
      <w:pPr>
        <w:rPr>
          <w:rFonts w:ascii="Arial" w:hAnsi="Arial" w:cs="Arial"/>
        </w:rPr>
      </w:pPr>
    </w:p>
    <w:p w14:paraId="384D5D02" w14:textId="5D3EB02F"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8" w:name="Abstract"/>
      <w:bookmarkEnd w:id="8"/>
      <w:r w:rsidR="004A50AB">
        <w:rPr>
          <w:rFonts w:asciiTheme="minorHAnsi" w:hAnsiTheme="minorHAnsi" w:cstheme="minorHAnsi"/>
          <w:i/>
          <w:sz w:val="24"/>
        </w:rPr>
        <w:t>This is a</w:t>
      </w:r>
      <w:r w:rsidR="00095671">
        <w:rPr>
          <w:rFonts w:asciiTheme="minorHAnsi" w:hAnsiTheme="minorHAnsi" w:cstheme="minorHAnsi"/>
          <w:i/>
          <w:sz w:val="24"/>
        </w:rPr>
        <w:t>n MEC PoC s</w:t>
      </w:r>
      <w:r w:rsidR="004A50AB">
        <w:rPr>
          <w:rFonts w:asciiTheme="minorHAnsi" w:hAnsiTheme="minorHAnsi" w:cstheme="minorHAnsi"/>
          <w:i/>
          <w:sz w:val="24"/>
        </w:rPr>
        <w:t xml:space="preserve">ubmission </w:t>
      </w:r>
      <w:r w:rsidR="00960BF0">
        <w:rPr>
          <w:rFonts w:asciiTheme="minorHAnsi" w:hAnsiTheme="minorHAnsi" w:cstheme="minorHAnsi"/>
          <w:i/>
          <w:sz w:val="24"/>
        </w:rPr>
        <w:t>about</w:t>
      </w:r>
      <w:r w:rsidR="004A50AB">
        <w:rPr>
          <w:rFonts w:asciiTheme="minorHAnsi" w:hAnsiTheme="minorHAnsi" w:cstheme="minorHAnsi"/>
          <w:i/>
          <w:sz w:val="24"/>
        </w:rPr>
        <w:t xml:space="preserve"> </w:t>
      </w:r>
      <w:r w:rsidR="00095671">
        <w:rPr>
          <w:rFonts w:asciiTheme="minorHAnsi" w:hAnsiTheme="minorHAnsi" w:cstheme="minorHAnsi"/>
          <w:i/>
          <w:sz w:val="24"/>
        </w:rPr>
        <w:t xml:space="preserve">real time distribution of </w:t>
      </w:r>
      <w:r w:rsidR="004A50AB">
        <w:rPr>
          <w:rFonts w:asciiTheme="minorHAnsi" w:hAnsiTheme="minorHAnsi" w:cstheme="minorHAnsi"/>
          <w:i/>
          <w:sz w:val="24"/>
        </w:rPr>
        <w:t xml:space="preserve">video </w:t>
      </w:r>
      <w:r w:rsidR="00095671">
        <w:rPr>
          <w:rFonts w:asciiTheme="minorHAnsi" w:hAnsiTheme="minorHAnsi" w:cstheme="minorHAnsi"/>
          <w:i/>
          <w:sz w:val="24"/>
        </w:rPr>
        <w:t>str</w:t>
      </w:r>
      <w:r w:rsidR="00165B96">
        <w:rPr>
          <w:rFonts w:asciiTheme="minorHAnsi" w:hAnsiTheme="minorHAnsi" w:cstheme="minorHAnsi"/>
          <w:i/>
          <w:sz w:val="24"/>
        </w:rPr>
        <w:t xml:space="preserve">eams </w:t>
      </w:r>
      <w:r w:rsidR="00095671">
        <w:rPr>
          <w:rFonts w:asciiTheme="minorHAnsi" w:hAnsiTheme="minorHAnsi" w:cstheme="minorHAnsi"/>
          <w:i/>
          <w:sz w:val="24"/>
        </w:rPr>
        <w:t xml:space="preserve">in stadiums and other event venues, under the </w:t>
      </w:r>
      <w:r w:rsidR="00960BF0">
        <w:rPr>
          <w:rFonts w:asciiTheme="minorHAnsi" w:hAnsiTheme="minorHAnsi" w:cstheme="minorHAnsi"/>
          <w:i/>
          <w:sz w:val="24"/>
        </w:rPr>
        <w:t xml:space="preserve">collaboration between </w:t>
      </w:r>
      <w:r w:rsidR="00095671">
        <w:rPr>
          <w:rFonts w:asciiTheme="minorHAnsi" w:hAnsiTheme="minorHAnsi" w:cstheme="minorHAnsi"/>
          <w:i/>
          <w:sz w:val="24"/>
        </w:rPr>
        <w:t>Nokia</w:t>
      </w:r>
      <w:r w:rsidR="00960BF0">
        <w:rPr>
          <w:rFonts w:asciiTheme="minorHAnsi" w:hAnsiTheme="minorHAnsi" w:cstheme="minorHAnsi"/>
          <w:i/>
          <w:sz w:val="24"/>
        </w:rPr>
        <w:t xml:space="preserve">, </w:t>
      </w:r>
      <w:r w:rsidR="001A53BB">
        <w:rPr>
          <w:rFonts w:asciiTheme="minorHAnsi" w:hAnsiTheme="minorHAnsi" w:cstheme="minorHAnsi"/>
          <w:i/>
          <w:sz w:val="24"/>
        </w:rPr>
        <w:t>EE</w:t>
      </w:r>
      <w:r w:rsidR="00095671">
        <w:rPr>
          <w:rFonts w:asciiTheme="minorHAnsi" w:hAnsiTheme="minorHAnsi" w:cstheme="minorHAnsi"/>
          <w:i/>
          <w:sz w:val="24"/>
        </w:rPr>
        <w:t xml:space="preserve">, </w:t>
      </w:r>
      <w:r w:rsidR="00165B96">
        <w:rPr>
          <w:rFonts w:asciiTheme="minorHAnsi" w:hAnsiTheme="minorHAnsi" w:cstheme="minorHAnsi"/>
          <w:i/>
          <w:sz w:val="24"/>
        </w:rPr>
        <w:t>and Smart Mobile Labs</w:t>
      </w:r>
      <w:r w:rsidR="00095671">
        <w:rPr>
          <w:rFonts w:asciiTheme="minorHAnsi" w:hAnsiTheme="minorHAnsi" w:cstheme="minorHAnsi"/>
          <w:i/>
          <w:sz w:val="24"/>
        </w:rPr>
        <w:t>.</w:t>
      </w:r>
      <w:r w:rsidR="005E3A8F">
        <w:rPr>
          <w:rFonts w:asciiTheme="minorHAnsi" w:hAnsiTheme="minorHAnsi" w:cstheme="minorHAnsi"/>
          <w:i/>
          <w:sz w:val="24"/>
        </w:rPr>
        <w:t xml:space="preserve"> </w:t>
      </w:r>
    </w:p>
    <w:p w14:paraId="0AF5D738" w14:textId="77777777" w:rsidR="007A3763" w:rsidRDefault="007A3763" w:rsidP="00E24490">
      <w:pPr>
        <w:rPr>
          <w:rFonts w:ascii="Arial" w:hAnsi="Arial" w:cs="Arial"/>
        </w:rPr>
      </w:pPr>
    </w:p>
    <w:p w14:paraId="144E2962" w14:textId="77777777" w:rsidR="00887234" w:rsidRDefault="00887234" w:rsidP="007833A7">
      <w:pPr>
        <w:rPr>
          <w:rFonts w:ascii="Arial" w:hAnsi="Arial" w:cs="Arial"/>
        </w:rPr>
      </w:pPr>
    </w:p>
    <w:p w14:paraId="15964442" w14:textId="77777777" w:rsidR="004D1743" w:rsidRDefault="004D1743" w:rsidP="007833A7">
      <w:pPr>
        <w:rPr>
          <w:rFonts w:ascii="Arial" w:hAnsi="Arial" w:cs="Arial"/>
        </w:rPr>
      </w:pPr>
    </w:p>
    <w:p w14:paraId="40C55F89" w14:textId="77777777" w:rsidR="00E440FE" w:rsidRDefault="00E440FE">
      <w:pPr>
        <w:overflowPunct/>
        <w:autoSpaceDE/>
        <w:autoSpaceDN/>
        <w:adjustRightInd/>
        <w:spacing w:after="200" w:line="276" w:lineRule="auto"/>
        <w:textAlignment w:val="auto"/>
        <w:rPr>
          <w:rFonts w:ascii="Arial" w:hAnsi="Arial" w:cs="Arial"/>
        </w:rPr>
      </w:pPr>
      <w:r>
        <w:rPr>
          <w:rFonts w:ascii="Arial" w:hAnsi="Arial" w:cs="Arial"/>
        </w:rPr>
        <w:br w:type="page"/>
      </w:r>
    </w:p>
    <w:p w14:paraId="6EEED027" w14:textId="024F1AE5" w:rsidR="00E440FE" w:rsidRPr="00CE1BE2" w:rsidRDefault="00E440FE" w:rsidP="00E440FE">
      <w:pPr>
        <w:pStyle w:val="Heading8"/>
      </w:pPr>
      <w:r w:rsidRPr="00CE1BE2">
        <w:lastRenderedPageBreak/>
        <w:t xml:space="preserve">PoC Proposal </w:t>
      </w:r>
    </w:p>
    <w:p w14:paraId="5AB449A6" w14:textId="77777777" w:rsidR="00E440FE" w:rsidRPr="00CE1BE2" w:rsidRDefault="00E440FE" w:rsidP="00E440FE">
      <w:pPr>
        <w:pStyle w:val="Heading1"/>
      </w:pPr>
      <w:bookmarkStart w:id="9" w:name="_Toc414543492"/>
      <w:bookmarkStart w:id="10" w:name="_Toc414607458"/>
      <w:bookmarkStart w:id="11" w:name="_Toc414607518"/>
      <w:r w:rsidRPr="00CE1BE2">
        <w:t>1</w:t>
      </w:r>
      <w:r w:rsidRPr="00CE1BE2">
        <w:tab/>
        <w:t>PoC Project Details</w:t>
      </w:r>
      <w:bookmarkEnd w:id="9"/>
      <w:bookmarkEnd w:id="10"/>
      <w:bookmarkEnd w:id="11"/>
    </w:p>
    <w:p w14:paraId="517A4B48" w14:textId="77777777" w:rsidR="00E440FE" w:rsidRPr="00CE1BE2" w:rsidRDefault="00E440FE" w:rsidP="00E440FE">
      <w:pPr>
        <w:pStyle w:val="Heading2"/>
      </w:pPr>
      <w:bookmarkStart w:id="12" w:name="_Toc414543493"/>
      <w:bookmarkStart w:id="13" w:name="_Toc414607459"/>
      <w:bookmarkStart w:id="14" w:name="_Toc414607519"/>
      <w:r w:rsidRPr="00CE1BE2">
        <w:t>1.1</w:t>
      </w:r>
      <w:r w:rsidRPr="00CE1BE2">
        <w:tab/>
        <w:t>PoC Project</w:t>
      </w:r>
      <w:bookmarkEnd w:id="12"/>
      <w:bookmarkEnd w:id="13"/>
      <w:bookmarkEnd w:id="14"/>
    </w:p>
    <w:p w14:paraId="5BA6EB29" w14:textId="77777777" w:rsidR="00E440FE" w:rsidRPr="00CE1BE2" w:rsidRDefault="00E440FE" w:rsidP="00E440FE">
      <w:r w:rsidRPr="00CE1BE2">
        <w:t>PoC Number (assigned by ETSI):</w:t>
      </w:r>
    </w:p>
    <w:p w14:paraId="2D987437" w14:textId="77777777" w:rsidR="00E440FE" w:rsidRDefault="00E440FE" w:rsidP="00E440FE">
      <w:pPr>
        <w:rPr>
          <w:b/>
          <w:bCs/>
        </w:rPr>
      </w:pPr>
      <w:r w:rsidRPr="00CE1BE2">
        <w:t>PoC Project Name:</w:t>
      </w:r>
      <w:r>
        <w:t xml:space="preserve"> </w:t>
      </w:r>
      <w:r w:rsidR="0000203D">
        <w:rPr>
          <w:b/>
          <w:bCs/>
        </w:rPr>
        <w:t>Edge Video Orchestration and Video Clip Replay via MEC</w:t>
      </w:r>
    </w:p>
    <w:p w14:paraId="4CAF202C" w14:textId="77777777" w:rsidR="00E440FE" w:rsidRPr="000B796B" w:rsidRDefault="00E440FE" w:rsidP="00E440FE">
      <w:pPr>
        <w:rPr>
          <w:b/>
        </w:rPr>
      </w:pPr>
      <w:r w:rsidRPr="00CE1BE2">
        <w:t>PoC Project Host:</w:t>
      </w:r>
      <w:r>
        <w:t xml:space="preserve"> </w:t>
      </w:r>
      <w:r w:rsidR="00095671">
        <w:rPr>
          <w:b/>
        </w:rPr>
        <w:t>Nokia</w:t>
      </w:r>
    </w:p>
    <w:p w14:paraId="757208AE" w14:textId="2FC76A4E" w:rsidR="00E440FE" w:rsidRPr="00D30669" w:rsidRDefault="00E440FE" w:rsidP="00E440FE">
      <w:r w:rsidRPr="00CE1BE2">
        <w:t>Short Description:</w:t>
      </w:r>
      <w:r>
        <w:t xml:space="preserve"> </w:t>
      </w:r>
      <w:r w:rsidR="0000203D" w:rsidRPr="00D30669">
        <w:t xml:space="preserve">Through the </w:t>
      </w:r>
      <w:r w:rsidR="00D30669">
        <w:t xml:space="preserve">Edge </w:t>
      </w:r>
      <w:r w:rsidR="0000203D" w:rsidRPr="00D30669">
        <w:t xml:space="preserve">Video Orchestration </w:t>
      </w:r>
      <w:r w:rsidR="00D30669">
        <w:t>a</w:t>
      </w:r>
      <w:r w:rsidR="0000203D" w:rsidRPr="00D30669">
        <w:t xml:space="preserve">pplication running on </w:t>
      </w:r>
      <w:r w:rsidR="00D30669">
        <w:t xml:space="preserve">the </w:t>
      </w:r>
      <w:r w:rsidR="0000203D" w:rsidRPr="00D30669">
        <w:t xml:space="preserve">MEC server, the end user is able to receive live </w:t>
      </w:r>
      <w:r w:rsidR="00D30669">
        <w:t xml:space="preserve">video </w:t>
      </w:r>
      <w:r w:rsidR="0000203D" w:rsidRPr="00D30669">
        <w:t>stream</w:t>
      </w:r>
      <w:r w:rsidR="00DA7603" w:rsidRPr="00D30669">
        <w:t>s</w:t>
      </w:r>
      <w:r w:rsidR="0000203D" w:rsidRPr="00D30669">
        <w:t xml:space="preserve"> </w:t>
      </w:r>
      <w:r w:rsidR="00D30669">
        <w:t xml:space="preserve">from professional stadium cameras </w:t>
      </w:r>
      <w:r w:rsidR="0000203D" w:rsidRPr="00D30669">
        <w:t xml:space="preserve">in real time. </w:t>
      </w:r>
      <w:r w:rsidR="00D30669">
        <w:t xml:space="preserve">The user can </w:t>
      </w:r>
      <w:r w:rsidR="0000203D" w:rsidRPr="00D30669">
        <w:t xml:space="preserve">choose </w:t>
      </w:r>
      <w:r w:rsidR="00D30669">
        <w:t xml:space="preserve">the </w:t>
      </w:r>
      <w:r w:rsidR="0000203D" w:rsidRPr="00D30669">
        <w:t xml:space="preserve">camera angle and view video replays provided </w:t>
      </w:r>
      <w:r w:rsidR="00D30669">
        <w:t>locally</w:t>
      </w:r>
      <w:r w:rsidR="0000203D" w:rsidRPr="00D30669">
        <w:t>. All media is produced</w:t>
      </w:r>
      <w:r w:rsidR="00DA7603" w:rsidRPr="00D30669">
        <w:t>,</w:t>
      </w:r>
      <w:r w:rsidR="0000203D" w:rsidRPr="00D30669">
        <w:t xml:space="preserve"> injected </w:t>
      </w:r>
      <w:r w:rsidR="00DA7603" w:rsidRPr="00D30669">
        <w:t xml:space="preserve">and played out </w:t>
      </w:r>
      <w:r w:rsidR="0000203D" w:rsidRPr="00D30669">
        <w:t xml:space="preserve">locally, </w:t>
      </w:r>
      <w:r w:rsidR="00D30669">
        <w:t>without the need to modify core network elements</w:t>
      </w:r>
      <w:r w:rsidR="00EB13D0">
        <w:t>. B</w:t>
      </w:r>
      <w:r w:rsidR="001A53BB">
        <w:t>ackhaul and core capacity</w:t>
      </w:r>
      <w:r w:rsidR="00EB13D0">
        <w:t xml:space="preserve"> is not impacted.</w:t>
      </w:r>
    </w:p>
    <w:p w14:paraId="32C3ED1A" w14:textId="77777777" w:rsidR="00E440FE" w:rsidRPr="00CE1BE2" w:rsidRDefault="00E440FE" w:rsidP="00E440FE">
      <w:pPr>
        <w:pStyle w:val="Heading2"/>
      </w:pPr>
      <w:bookmarkStart w:id="15" w:name="_Toc414543494"/>
      <w:bookmarkStart w:id="16" w:name="_Toc414607460"/>
      <w:bookmarkStart w:id="17" w:name="_Toc414607520"/>
      <w:r w:rsidRPr="00CE1BE2">
        <w:t>1.2</w:t>
      </w:r>
      <w:r w:rsidRPr="00CE1BE2">
        <w:tab/>
        <w:t>PoC Team Members</w:t>
      </w:r>
      <w:bookmarkEnd w:id="15"/>
      <w:bookmarkEnd w:id="16"/>
      <w:bookmarkEnd w:id="17"/>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56"/>
        <w:gridCol w:w="1764"/>
        <w:gridCol w:w="1057"/>
        <w:gridCol w:w="2911"/>
        <w:gridCol w:w="972"/>
        <w:gridCol w:w="1197"/>
        <w:gridCol w:w="1517"/>
      </w:tblGrid>
      <w:tr w:rsidR="00E440FE" w:rsidRPr="00CE1BE2" w14:paraId="044B9F25" w14:textId="77777777" w:rsidTr="002463B4">
        <w:trPr>
          <w:trHeight w:val="717"/>
          <w:jc w:val="center"/>
        </w:trPr>
        <w:tc>
          <w:tcPr>
            <w:tcW w:w="356" w:type="dxa"/>
            <w:shd w:val="clear" w:color="auto" w:fill="D9D9D9"/>
            <w:vAlign w:val="center"/>
          </w:tcPr>
          <w:p w14:paraId="216BDBE2" w14:textId="77777777" w:rsidR="00E440FE" w:rsidRPr="00CE1BE2" w:rsidRDefault="00E440FE" w:rsidP="005547E4">
            <w:pPr>
              <w:pStyle w:val="TAH"/>
            </w:pPr>
          </w:p>
        </w:tc>
        <w:tc>
          <w:tcPr>
            <w:tcW w:w="1764" w:type="dxa"/>
            <w:shd w:val="clear" w:color="auto" w:fill="D9D9D9"/>
            <w:vAlign w:val="center"/>
          </w:tcPr>
          <w:p w14:paraId="41DF33FC" w14:textId="77777777" w:rsidR="00E440FE" w:rsidRPr="00CE1BE2" w:rsidRDefault="00E440FE" w:rsidP="005547E4">
            <w:pPr>
              <w:pStyle w:val="TAH"/>
            </w:pPr>
            <w:r w:rsidRPr="00CE1BE2">
              <w:t>Organisation name</w:t>
            </w:r>
          </w:p>
        </w:tc>
        <w:tc>
          <w:tcPr>
            <w:tcW w:w="1057" w:type="dxa"/>
            <w:shd w:val="clear" w:color="auto" w:fill="D9D9D9"/>
            <w:vAlign w:val="center"/>
          </w:tcPr>
          <w:p w14:paraId="2ADA1DF2" w14:textId="77777777" w:rsidR="00E440FE" w:rsidRPr="00CE1BE2" w:rsidRDefault="00E440FE" w:rsidP="005547E4">
            <w:pPr>
              <w:pStyle w:val="TAH"/>
            </w:pPr>
            <w:r w:rsidRPr="00CE1BE2">
              <w:t>ISG MEC participant</w:t>
            </w:r>
          </w:p>
          <w:p w14:paraId="0CBB86C3" w14:textId="77777777" w:rsidR="00E440FE" w:rsidRPr="00CE1BE2" w:rsidRDefault="00E440FE" w:rsidP="005547E4">
            <w:pPr>
              <w:pStyle w:val="TAH"/>
            </w:pPr>
            <w:r w:rsidRPr="00CE1BE2">
              <w:t>(yes/no)</w:t>
            </w:r>
          </w:p>
        </w:tc>
        <w:tc>
          <w:tcPr>
            <w:tcW w:w="2911" w:type="dxa"/>
            <w:shd w:val="clear" w:color="auto" w:fill="D9D9D9"/>
            <w:vAlign w:val="center"/>
          </w:tcPr>
          <w:p w14:paraId="112DA303" w14:textId="77777777" w:rsidR="00E440FE" w:rsidRPr="00CE1BE2" w:rsidRDefault="00E440FE" w:rsidP="005547E4">
            <w:pPr>
              <w:pStyle w:val="TAH"/>
            </w:pPr>
            <w:r w:rsidRPr="00CE1BE2">
              <w:t>Contact (Email)</w:t>
            </w:r>
          </w:p>
        </w:tc>
        <w:tc>
          <w:tcPr>
            <w:tcW w:w="972" w:type="dxa"/>
            <w:shd w:val="clear" w:color="auto" w:fill="D9D9D9"/>
            <w:vAlign w:val="center"/>
          </w:tcPr>
          <w:p w14:paraId="1ED35819" w14:textId="77777777" w:rsidR="00E440FE" w:rsidRPr="00CE1BE2" w:rsidRDefault="00E440FE" w:rsidP="005547E4">
            <w:pPr>
              <w:pStyle w:val="TAH"/>
            </w:pPr>
            <w:r w:rsidRPr="00CE1BE2">
              <w:t>PoC Point of Contact</w:t>
            </w:r>
          </w:p>
          <w:p w14:paraId="2CE77ECA" w14:textId="77777777" w:rsidR="00E440FE" w:rsidRPr="00CE1BE2" w:rsidRDefault="00E440FE" w:rsidP="005547E4">
            <w:pPr>
              <w:pStyle w:val="TAH"/>
            </w:pPr>
            <w:r w:rsidRPr="00CE1BE2">
              <w:t>(*)</w:t>
            </w:r>
          </w:p>
        </w:tc>
        <w:tc>
          <w:tcPr>
            <w:tcW w:w="1197" w:type="dxa"/>
            <w:shd w:val="clear" w:color="auto" w:fill="D9D9D9"/>
            <w:vAlign w:val="center"/>
          </w:tcPr>
          <w:p w14:paraId="47F7DEB4" w14:textId="77777777" w:rsidR="00E440FE" w:rsidRPr="00CE1BE2" w:rsidRDefault="00E440FE" w:rsidP="005547E4">
            <w:pPr>
              <w:pStyle w:val="TAH"/>
            </w:pPr>
            <w:r w:rsidRPr="00CE1BE2">
              <w:t>Role (</w:t>
            </w:r>
            <w:r>
              <w:t>*</w:t>
            </w:r>
            <w:r w:rsidRPr="00CE1BE2">
              <w:t>*)</w:t>
            </w:r>
          </w:p>
        </w:tc>
        <w:tc>
          <w:tcPr>
            <w:tcW w:w="1517" w:type="dxa"/>
            <w:shd w:val="clear" w:color="auto" w:fill="D9D9D9"/>
            <w:vAlign w:val="center"/>
          </w:tcPr>
          <w:p w14:paraId="0B2778A2" w14:textId="77777777" w:rsidR="00E440FE" w:rsidRPr="00CE1BE2" w:rsidRDefault="00E440FE" w:rsidP="005547E4">
            <w:pPr>
              <w:pStyle w:val="TAH"/>
            </w:pPr>
            <w:r>
              <w:t xml:space="preserve">PoC </w:t>
            </w:r>
            <w:r w:rsidRPr="00CE1BE2">
              <w:t>Components</w:t>
            </w:r>
          </w:p>
        </w:tc>
      </w:tr>
      <w:tr w:rsidR="00E440FE" w:rsidRPr="00CE1BE2" w14:paraId="7480BD58" w14:textId="77777777" w:rsidTr="002463B4">
        <w:trPr>
          <w:trHeight w:val="169"/>
          <w:jc w:val="center"/>
        </w:trPr>
        <w:tc>
          <w:tcPr>
            <w:tcW w:w="356" w:type="dxa"/>
            <w:shd w:val="clear" w:color="auto" w:fill="auto"/>
            <w:vAlign w:val="center"/>
          </w:tcPr>
          <w:p w14:paraId="6424FC12" w14:textId="77777777" w:rsidR="00E440FE" w:rsidRPr="00CE1BE2" w:rsidRDefault="00E440FE" w:rsidP="005547E4">
            <w:pPr>
              <w:pStyle w:val="TAL"/>
            </w:pPr>
            <w:r w:rsidRPr="00CE1BE2">
              <w:t>1</w:t>
            </w:r>
          </w:p>
        </w:tc>
        <w:tc>
          <w:tcPr>
            <w:tcW w:w="1764" w:type="dxa"/>
            <w:shd w:val="clear" w:color="auto" w:fill="auto"/>
            <w:vAlign w:val="center"/>
          </w:tcPr>
          <w:p w14:paraId="79E73021" w14:textId="77777777" w:rsidR="00E440FE" w:rsidRPr="00CE1BE2" w:rsidRDefault="00095671" w:rsidP="005547E4">
            <w:pPr>
              <w:pStyle w:val="TAL"/>
            </w:pPr>
            <w:r>
              <w:t>Nokia</w:t>
            </w:r>
          </w:p>
        </w:tc>
        <w:tc>
          <w:tcPr>
            <w:tcW w:w="1057" w:type="dxa"/>
          </w:tcPr>
          <w:p w14:paraId="352E49EA" w14:textId="77777777" w:rsidR="00E440FE" w:rsidRPr="00CE1BE2" w:rsidRDefault="00E440FE" w:rsidP="005547E4">
            <w:pPr>
              <w:pStyle w:val="TAL"/>
            </w:pPr>
            <w:r>
              <w:t>Yes</w:t>
            </w:r>
          </w:p>
        </w:tc>
        <w:tc>
          <w:tcPr>
            <w:tcW w:w="2911" w:type="dxa"/>
          </w:tcPr>
          <w:p w14:paraId="4BD66D73" w14:textId="77777777" w:rsidR="00E440FE" w:rsidRPr="00095671" w:rsidRDefault="00095671" w:rsidP="005547E4">
            <w:pPr>
              <w:pStyle w:val="TAL"/>
              <w:rPr>
                <w:lang w:val="de-DE"/>
              </w:rPr>
            </w:pPr>
            <w:r w:rsidRPr="00095671">
              <w:rPr>
                <w:lang w:val="de-DE"/>
              </w:rPr>
              <w:t>Dirk Lindemeier</w:t>
            </w:r>
          </w:p>
          <w:p w14:paraId="7C31ADA4" w14:textId="77777777" w:rsidR="00095671" w:rsidRDefault="00C5512B" w:rsidP="005547E4">
            <w:pPr>
              <w:pStyle w:val="TAL"/>
              <w:rPr>
                <w:rStyle w:val="Hyperlink"/>
                <w:lang w:val="de-DE"/>
              </w:rPr>
            </w:pPr>
            <w:hyperlink r:id="rId8" w:history="1">
              <w:r w:rsidR="00095671" w:rsidRPr="00587DB5">
                <w:rPr>
                  <w:rStyle w:val="Hyperlink"/>
                  <w:lang w:val="de-DE"/>
                </w:rPr>
                <w:t>dirk.lindemeier@nokia.com</w:t>
              </w:r>
            </w:hyperlink>
          </w:p>
          <w:p w14:paraId="18DF56C1" w14:textId="77777777" w:rsidR="00621FE6" w:rsidRPr="00621FE6" w:rsidRDefault="00621FE6" w:rsidP="00621FE6">
            <w:pPr>
              <w:pStyle w:val="TAL"/>
              <w:rPr>
                <w:lang w:val="en-US"/>
              </w:rPr>
            </w:pPr>
            <w:r w:rsidRPr="00621FE6">
              <w:rPr>
                <w:lang w:val="en-US"/>
              </w:rPr>
              <w:t>Uwe Rauschenbach</w:t>
            </w:r>
          </w:p>
          <w:p w14:paraId="4B0FEC6D" w14:textId="77777777" w:rsidR="00621FE6" w:rsidRPr="00621FE6" w:rsidRDefault="00C5512B" w:rsidP="00621FE6">
            <w:pPr>
              <w:pStyle w:val="TAL"/>
              <w:rPr>
                <w:lang w:val="en-US"/>
              </w:rPr>
            </w:pPr>
            <w:hyperlink r:id="rId9" w:history="1">
              <w:r w:rsidR="00621FE6" w:rsidRPr="00C33065">
                <w:rPr>
                  <w:rStyle w:val="Hyperlink"/>
                  <w:lang w:val="en-US"/>
                </w:rPr>
                <w:t>uwe.rauschenbach@nokia.com</w:t>
              </w:r>
            </w:hyperlink>
          </w:p>
        </w:tc>
        <w:tc>
          <w:tcPr>
            <w:tcW w:w="972" w:type="dxa"/>
          </w:tcPr>
          <w:p w14:paraId="3CEDE1EC" w14:textId="77777777" w:rsidR="00E440FE" w:rsidRPr="00CE1BE2" w:rsidRDefault="00E440FE" w:rsidP="005547E4">
            <w:pPr>
              <w:pStyle w:val="TAL"/>
            </w:pPr>
            <w:r>
              <w:t>X</w:t>
            </w:r>
          </w:p>
        </w:tc>
        <w:tc>
          <w:tcPr>
            <w:tcW w:w="1197" w:type="dxa"/>
            <w:shd w:val="clear" w:color="auto" w:fill="auto"/>
            <w:vAlign w:val="center"/>
          </w:tcPr>
          <w:p w14:paraId="0D00E9CA" w14:textId="77777777" w:rsidR="00E440FE" w:rsidRPr="00CE1BE2" w:rsidRDefault="00E440FE" w:rsidP="005547E4">
            <w:pPr>
              <w:pStyle w:val="TAL"/>
            </w:pPr>
            <w:r>
              <w:t>Infrastructure Provider</w:t>
            </w:r>
          </w:p>
        </w:tc>
        <w:tc>
          <w:tcPr>
            <w:tcW w:w="1517" w:type="dxa"/>
            <w:shd w:val="clear" w:color="auto" w:fill="auto"/>
            <w:vAlign w:val="center"/>
          </w:tcPr>
          <w:p w14:paraId="77158FB2" w14:textId="77777777" w:rsidR="00E440FE" w:rsidRDefault="00095671" w:rsidP="005547E4">
            <w:pPr>
              <w:pStyle w:val="TAL"/>
            </w:pPr>
            <w:r>
              <w:t>MEC Server</w:t>
            </w:r>
          </w:p>
          <w:p w14:paraId="11368B0A" w14:textId="77777777" w:rsidR="00095671" w:rsidRPr="00CE1BE2" w:rsidRDefault="00095671" w:rsidP="005547E4">
            <w:pPr>
              <w:pStyle w:val="TAL"/>
            </w:pPr>
            <w:r>
              <w:t>End-to-end integration</w:t>
            </w:r>
          </w:p>
        </w:tc>
      </w:tr>
      <w:tr w:rsidR="00E440FE" w:rsidRPr="00CE1BE2" w14:paraId="5F6D0DB5" w14:textId="77777777" w:rsidTr="002463B4">
        <w:trPr>
          <w:trHeight w:val="182"/>
          <w:jc w:val="center"/>
        </w:trPr>
        <w:tc>
          <w:tcPr>
            <w:tcW w:w="356" w:type="dxa"/>
            <w:shd w:val="clear" w:color="auto" w:fill="auto"/>
            <w:vAlign w:val="center"/>
          </w:tcPr>
          <w:p w14:paraId="09ECDA73" w14:textId="77777777" w:rsidR="00E440FE" w:rsidRPr="00CE1BE2" w:rsidRDefault="00E440FE" w:rsidP="005547E4">
            <w:pPr>
              <w:pStyle w:val="TAL"/>
            </w:pPr>
            <w:r w:rsidRPr="00CE1BE2">
              <w:t>2</w:t>
            </w:r>
          </w:p>
        </w:tc>
        <w:tc>
          <w:tcPr>
            <w:tcW w:w="1764" w:type="dxa"/>
            <w:shd w:val="clear" w:color="auto" w:fill="auto"/>
            <w:vAlign w:val="center"/>
          </w:tcPr>
          <w:p w14:paraId="5E851C75" w14:textId="77777777" w:rsidR="00E440FE" w:rsidRPr="00CE1BE2" w:rsidRDefault="001A53BB" w:rsidP="005547E4">
            <w:pPr>
              <w:pStyle w:val="TAL"/>
            </w:pPr>
            <w:r>
              <w:t>EE</w:t>
            </w:r>
          </w:p>
        </w:tc>
        <w:tc>
          <w:tcPr>
            <w:tcW w:w="1057" w:type="dxa"/>
          </w:tcPr>
          <w:p w14:paraId="33A19490" w14:textId="77777777" w:rsidR="00E440FE" w:rsidRPr="00CE1BE2" w:rsidRDefault="00095671" w:rsidP="005547E4">
            <w:pPr>
              <w:pStyle w:val="TAL"/>
            </w:pPr>
            <w:r w:rsidRPr="00EB13D0">
              <w:t>Yes</w:t>
            </w:r>
          </w:p>
        </w:tc>
        <w:tc>
          <w:tcPr>
            <w:tcW w:w="2911" w:type="dxa"/>
          </w:tcPr>
          <w:p w14:paraId="639E8956" w14:textId="77777777" w:rsidR="00E440FE" w:rsidRDefault="00095671" w:rsidP="005547E4">
            <w:pPr>
              <w:pStyle w:val="TAL"/>
            </w:pPr>
            <w:r>
              <w:t>Matt Stagg</w:t>
            </w:r>
          </w:p>
          <w:p w14:paraId="58CD2CE8" w14:textId="0EEEF5BA" w:rsidR="005E3A8F" w:rsidRPr="00CE1BE2" w:rsidRDefault="00C5512B" w:rsidP="005E3A8F">
            <w:pPr>
              <w:pStyle w:val="TAL"/>
            </w:pPr>
            <w:hyperlink r:id="rId10" w:history="1">
              <w:r w:rsidR="005E3A8F">
                <w:rPr>
                  <w:rStyle w:val="Hyperlink"/>
                  <w:rFonts w:ascii="Tahoma" w:hAnsi="Tahoma" w:cs="Tahoma"/>
                  <w:sz w:val="20"/>
                </w:rPr>
                <w:t>matt.stagg@ee.co.uk</w:t>
              </w:r>
            </w:hyperlink>
            <w:r w:rsidR="005E3A8F">
              <w:rPr>
                <w:rFonts w:cs="Arial"/>
                <w:sz w:val="20"/>
              </w:rPr>
              <w:t xml:space="preserve"> </w:t>
            </w:r>
          </w:p>
        </w:tc>
        <w:tc>
          <w:tcPr>
            <w:tcW w:w="972" w:type="dxa"/>
          </w:tcPr>
          <w:p w14:paraId="52409CE4" w14:textId="77777777" w:rsidR="00E440FE" w:rsidRPr="00CE1BE2" w:rsidRDefault="00095671" w:rsidP="005547E4">
            <w:pPr>
              <w:pStyle w:val="TAL"/>
            </w:pPr>
            <w:r>
              <w:t>X</w:t>
            </w:r>
          </w:p>
        </w:tc>
        <w:tc>
          <w:tcPr>
            <w:tcW w:w="1197" w:type="dxa"/>
            <w:shd w:val="clear" w:color="auto" w:fill="auto"/>
            <w:vAlign w:val="center"/>
          </w:tcPr>
          <w:p w14:paraId="13CFC427" w14:textId="77777777" w:rsidR="00E440FE" w:rsidRPr="00CE1BE2" w:rsidRDefault="00E440FE" w:rsidP="005547E4">
            <w:pPr>
              <w:pStyle w:val="TAL"/>
            </w:pPr>
            <w:r>
              <w:t>Service Provider</w:t>
            </w:r>
          </w:p>
        </w:tc>
        <w:tc>
          <w:tcPr>
            <w:tcW w:w="1517" w:type="dxa"/>
            <w:shd w:val="clear" w:color="auto" w:fill="auto"/>
            <w:vAlign w:val="center"/>
          </w:tcPr>
          <w:p w14:paraId="24A4C02C" w14:textId="77777777" w:rsidR="00E440FE" w:rsidRPr="00CE1BE2" w:rsidRDefault="00095671" w:rsidP="005547E4">
            <w:pPr>
              <w:pStyle w:val="TAL"/>
            </w:pPr>
            <w:r>
              <w:t>LTE network</w:t>
            </w:r>
          </w:p>
        </w:tc>
      </w:tr>
      <w:tr w:rsidR="00E440FE" w:rsidRPr="00CE1BE2" w14:paraId="3194EDA0" w14:textId="77777777" w:rsidTr="002463B4">
        <w:trPr>
          <w:trHeight w:val="182"/>
          <w:jc w:val="center"/>
        </w:trPr>
        <w:tc>
          <w:tcPr>
            <w:tcW w:w="356" w:type="dxa"/>
            <w:shd w:val="clear" w:color="auto" w:fill="auto"/>
            <w:vAlign w:val="center"/>
          </w:tcPr>
          <w:p w14:paraId="1093CAB7" w14:textId="33D16206" w:rsidR="00E440FE" w:rsidRPr="00CE1BE2" w:rsidRDefault="002463B4" w:rsidP="005547E4">
            <w:pPr>
              <w:pStyle w:val="TAL"/>
            </w:pPr>
            <w:r>
              <w:t>3</w:t>
            </w:r>
          </w:p>
        </w:tc>
        <w:tc>
          <w:tcPr>
            <w:tcW w:w="1764" w:type="dxa"/>
            <w:shd w:val="clear" w:color="auto" w:fill="auto"/>
            <w:vAlign w:val="center"/>
          </w:tcPr>
          <w:p w14:paraId="10D493A4" w14:textId="77777777" w:rsidR="00E440FE" w:rsidRPr="00CE1BE2" w:rsidRDefault="00095671" w:rsidP="005547E4">
            <w:pPr>
              <w:pStyle w:val="TAL"/>
            </w:pPr>
            <w:r>
              <w:t>Smart Mobile Labs</w:t>
            </w:r>
          </w:p>
        </w:tc>
        <w:tc>
          <w:tcPr>
            <w:tcW w:w="1057" w:type="dxa"/>
          </w:tcPr>
          <w:p w14:paraId="4630C728" w14:textId="77777777" w:rsidR="00E440FE" w:rsidRPr="00CE1BE2" w:rsidRDefault="00095671" w:rsidP="005547E4">
            <w:pPr>
              <w:pStyle w:val="TAL"/>
            </w:pPr>
            <w:r>
              <w:t>No</w:t>
            </w:r>
          </w:p>
        </w:tc>
        <w:tc>
          <w:tcPr>
            <w:tcW w:w="2911" w:type="dxa"/>
          </w:tcPr>
          <w:p w14:paraId="32A44958" w14:textId="77777777" w:rsidR="00E440FE" w:rsidRPr="002463B4" w:rsidRDefault="00095671" w:rsidP="005547E4">
            <w:pPr>
              <w:pStyle w:val="TAL"/>
              <w:rPr>
                <w:lang w:val="de-DE"/>
              </w:rPr>
            </w:pPr>
            <w:r w:rsidRPr="002463B4">
              <w:rPr>
                <w:lang w:val="de-DE"/>
              </w:rPr>
              <w:t>Klaus Nagora</w:t>
            </w:r>
          </w:p>
          <w:p w14:paraId="5855156F" w14:textId="706B9724" w:rsidR="005E3A8F" w:rsidRPr="002463B4" w:rsidRDefault="00C5512B" w:rsidP="005E3A8F">
            <w:pPr>
              <w:pStyle w:val="TAL"/>
              <w:rPr>
                <w:lang w:val="de-DE"/>
              </w:rPr>
            </w:pPr>
            <w:hyperlink r:id="rId11" w:history="1">
              <w:r w:rsidR="005E3A8F" w:rsidRPr="002463B4">
                <w:rPr>
                  <w:rStyle w:val="Hyperlink"/>
                  <w:lang w:val="de-DE"/>
                </w:rPr>
                <w:t>klaus.nagora@smartmobilelabs.de</w:t>
              </w:r>
            </w:hyperlink>
          </w:p>
        </w:tc>
        <w:tc>
          <w:tcPr>
            <w:tcW w:w="972" w:type="dxa"/>
          </w:tcPr>
          <w:p w14:paraId="53241D3D" w14:textId="77777777" w:rsidR="00E440FE" w:rsidRPr="002463B4" w:rsidRDefault="00E440FE" w:rsidP="005547E4">
            <w:pPr>
              <w:pStyle w:val="TAL"/>
              <w:rPr>
                <w:lang w:val="de-DE"/>
              </w:rPr>
            </w:pPr>
          </w:p>
        </w:tc>
        <w:tc>
          <w:tcPr>
            <w:tcW w:w="1197" w:type="dxa"/>
            <w:shd w:val="clear" w:color="auto" w:fill="auto"/>
            <w:vAlign w:val="center"/>
          </w:tcPr>
          <w:p w14:paraId="2B8285CD" w14:textId="77777777" w:rsidR="00E440FE" w:rsidRPr="00CE1BE2" w:rsidRDefault="00095671" w:rsidP="005547E4">
            <w:pPr>
              <w:pStyle w:val="TAL"/>
            </w:pPr>
            <w:r>
              <w:t>Application provider</w:t>
            </w:r>
          </w:p>
        </w:tc>
        <w:tc>
          <w:tcPr>
            <w:tcW w:w="1517" w:type="dxa"/>
            <w:shd w:val="clear" w:color="auto" w:fill="auto"/>
            <w:vAlign w:val="center"/>
          </w:tcPr>
          <w:p w14:paraId="4953DEBE" w14:textId="77777777" w:rsidR="00E440FE" w:rsidRPr="00CE1BE2" w:rsidRDefault="00095671" w:rsidP="005547E4">
            <w:pPr>
              <w:pStyle w:val="TAL"/>
            </w:pPr>
            <w:r>
              <w:t>MEC application</w:t>
            </w:r>
          </w:p>
        </w:tc>
      </w:tr>
      <w:tr w:rsidR="00E440FE" w:rsidRPr="00CE1BE2" w14:paraId="3BF2C181" w14:textId="77777777" w:rsidTr="005547E4">
        <w:trPr>
          <w:trHeight w:val="704"/>
          <w:jc w:val="center"/>
        </w:trPr>
        <w:tc>
          <w:tcPr>
            <w:tcW w:w="9774" w:type="dxa"/>
            <w:gridSpan w:val="7"/>
            <w:shd w:val="clear" w:color="auto" w:fill="auto"/>
            <w:vAlign w:val="center"/>
          </w:tcPr>
          <w:p w14:paraId="396CDB5B" w14:textId="77777777" w:rsidR="00E440FE" w:rsidRDefault="00E440FE" w:rsidP="005547E4">
            <w:pPr>
              <w:pStyle w:val="TAN"/>
            </w:pPr>
            <w:r>
              <w:t>(</w:t>
            </w:r>
            <w:r w:rsidRPr="00E06987">
              <w:t>*) Identify the PoC Point of Contact with an X.</w:t>
            </w:r>
          </w:p>
          <w:p w14:paraId="20280FCC" w14:textId="77777777" w:rsidR="00E440FE" w:rsidRPr="00CE1BE2" w:rsidRDefault="00E440FE" w:rsidP="005547E4">
            <w:pPr>
              <w:pStyle w:val="TAN"/>
              <w:ind w:left="0" w:firstLine="0"/>
            </w:pPr>
            <w:r>
              <w:t>(**) The Role will be</w:t>
            </w:r>
            <w:r w:rsidRPr="00E06987">
              <w:t xml:space="preserve"> network operator/service provider, infrastructure provider, application provider or other.</w:t>
            </w:r>
          </w:p>
        </w:tc>
      </w:tr>
    </w:tbl>
    <w:p w14:paraId="6AF634C6" w14:textId="77777777" w:rsidR="00E440FE" w:rsidRDefault="00E440FE" w:rsidP="00E440FE">
      <w:pPr>
        <w:pStyle w:val="TAN"/>
        <w:tabs>
          <w:tab w:val="left" w:pos="6495"/>
        </w:tabs>
      </w:pPr>
      <w:r>
        <w:tab/>
      </w:r>
      <w:r>
        <w:tab/>
      </w:r>
    </w:p>
    <w:p w14:paraId="025371A4" w14:textId="77777777" w:rsidR="00E440FE" w:rsidRPr="00CE1BE2" w:rsidRDefault="00E440FE" w:rsidP="00E440FE">
      <w:r w:rsidRPr="00CE1BE2">
        <w:t>All the PoC Team members listed above declare that the information in this proposal is conformant to their plans at this date and commit to inform ETSI timely in case of changes in the PoC Team, scope or timeline.</w:t>
      </w:r>
    </w:p>
    <w:p w14:paraId="563B4EA8" w14:textId="77777777" w:rsidR="00E440FE" w:rsidRPr="00CE1BE2" w:rsidRDefault="00E440FE" w:rsidP="00E440FE"/>
    <w:p w14:paraId="3C457812" w14:textId="77777777" w:rsidR="00E440FE" w:rsidRPr="00CE1BE2" w:rsidRDefault="00E440FE" w:rsidP="00E440FE">
      <w:pPr>
        <w:pStyle w:val="Heading2"/>
      </w:pPr>
      <w:bookmarkStart w:id="18" w:name="_Toc414543495"/>
      <w:bookmarkStart w:id="19" w:name="_Toc414607461"/>
      <w:bookmarkStart w:id="20" w:name="_Toc414607521"/>
      <w:r w:rsidRPr="00CE1BE2">
        <w:t>1.3</w:t>
      </w:r>
      <w:r w:rsidRPr="00CE1BE2">
        <w:tab/>
        <w:t>PoC Project Scope</w:t>
      </w:r>
      <w:bookmarkEnd w:id="18"/>
      <w:bookmarkEnd w:id="19"/>
      <w:bookmarkEnd w:id="20"/>
    </w:p>
    <w:p w14:paraId="501C30BE" w14:textId="77777777" w:rsidR="00E440FE" w:rsidRPr="00CE1BE2" w:rsidRDefault="00E440FE" w:rsidP="00E440FE">
      <w:pPr>
        <w:pStyle w:val="Heading3"/>
      </w:pPr>
      <w:bookmarkStart w:id="21" w:name="_Toc414607462"/>
      <w:bookmarkStart w:id="22" w:name="_Toc414607522"/>
      <w:r w:rsidRPr="00CE1BE2">
        <w:t>1.3.1</w:t>
      </w:r>
      <w:r w:rsidRPr="00CE1BE2">
        <w:tab/>
        <w:t>PoC Topics</w:t>
      </w:r>
      <w:bookmarkEnd w:id="21"/>
      <w:bookmarkEnd w:id="22"/>
    </w:p>
    <w:p w14:paraId="6486B992" w14:textId="77777777" w:rsidR="00E440FE" w:rsidRPr="00CE1BE2" w:rsidRDefault="00E440FE" w:rsidP="00E440FE">
      <w:r w:rsidRPr="00CE1BE2">
        <w:t xml:space="preserve">PoC Topics identified in this </w:t>
      </w:r>
      <w:r>
        <w:t>clause</w:t>
      </w:r>
      <w:r w:rsidRPr="00CE1BE2">
        <w:t xml:space="preserve"> need to be taken for the PoC Topic List identified by ISG MEC and publicly available in the </w:t>
      </w:r>
      <w:r>
        <w:t>MEC</w:t>
      </w:r>
      <w:r w:rsidRPr="00CE1BE2">
        <w:t xml:space="preserve"> WIKI. PoC Teams addressing these topics commit to submit the expected contributions in a timely manner.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36166C8C" w14:textId="77777777" w:rsidTr="005547E4">
        <w:trPr>
          <w:jc w:val="center"/>
        </w:trPr>
        <w:tc>
          <w:tcPr>
            <w:tcW w:w="1099" w:type="dxa"/>
            <w:shd w:val="clear" w:color="auto" w:fill="D9D9D9"/>
            <w:vAlign w:val="center"/>
          </w:tcPr>
          <w:p w14:paraId="1F89F9FF" w14:textId="77777777" w:rsidR="00E440FE" w:rsidRPr="00CE1BE2" w:rsidRDefault="00E440FE" w:rsidP="005547E4">
            <w:pPr>
              <w:pStyle w:val="TAH"/>
            </w:pPr>
            <w:r w:rsidRPr="00CE1BE2">
              <w:t>PoC Topic Code</w:t>
            </w:r>
          </w:p>
        </w:tc>
        <w:tc>
          <w:tcPr>
            <w:tcW w:w="2411" w:type="dxa"/>
            <w:shd w:val="clear" w:color="auto" w:fill="D9D9D9"/>
            <w:vAlign w:val="center"/>
          </w:tcPr>
          <w:p w14:paraId="0B486AF4" w14:textId="77777777" w:rsidR="00E440FE" w:rsidRPr="00CE1BE2" w:rsidRDefault="00E440FE" w:rsidP="005547E4">
            <w:pPr>
              <w:pStyle w:val="TAH"/>
            </w:pPr>
            <w:r w:rsidRPr="00CE1BE2">
              <w:t>PoC Topic Description</w:t>
            </w:r>
          </w:p>
        </w:tc>
        <w:tc>
          <w:tcPr>
            <w:tcW w:w="1985" w:type="dxa"/>
            <w:shd w:val="clear" w:color="auto" w:fill="D9D9D9"/>
            <w:vAlign w:val="center"/>
          </w:tcPr>
          <w:p w14:paraId="743BD8C5" w14:textId="77777777" w:rsidR="00E440FE" w:rsidRPr="00CE1BE2" w:rsidRDefault="00E440FE" w:rsidP="005547E4">
            <w:pPr>
              <w:pStyle w:val="TAH"/>
            </w:pPr>
            <w:r w:rsidRPr="00CE1BE2">
              <w:t>Related WG/WI</w:t>
            </w:r>
          </w:p>
        </w:tc>
        <w:tc>
          <w:tcPr>
            <w:tcW w:w="2977" w:type="dxa"/>
            <w:shd w:val="clear" w:color="auto" w:fill="D9D9D9"/>
            <w:vAlign w:val="center"/>
          </w:tcPr>
          <w:p w14:paraId="36F7FE5E" w14:textId="77777777" w:rsidR="00E440FE" w:rsidRPr="00CE1BE2" w:rsidRDefault="00E440FE" w:rsidP="005547E4">
            <w:pPr>
              <w:pStyle w:val="TAH"/>
            </w:pPr>
            <w:r w:rsidRPr="00CE1BE2">
              <w:t>Expected Contribution</w:t>
            </w:r>
          </w:p>
        </w:tc>
        <w:tc>
          <w:tcPr>
            <w:tcW w:w="1383" w:type="dxa"/>
            <w:shd w:val="clear" w:color="auto" w:fill="D9D9D9"/>
            <w:vAlign w:val="center"/>
          </w:tcPr>
          <w:p w14:paraId="62E63F47" w14:textId="77777777" w:rsidR="00E440FE" w:rsidRPr="00CE1BE2" w:rsidRDefault="00E440FE" w:rsidP="005547E4">
            <w:pPr>
              <w:pStyle w:val="TAH"/>
            </w:pPr>
            <w:r w:rsidRPr="00CE1BE2">
              <w:t>Target Date</w:t>
            </w:r>
          </w:p>
        </w:tc>
      </w:tr>
      <w:tr w:rsidR="00E440FE" w:rsidRPr="00CE1BE2" w14:paraId="609370B3" w14:textId="77777777" w:rsidTr="005547E4">
        <w:trPr>
          <w:jc w:val="center"/>
        </w:trPr>
        <w:tc>
          <w:tcPr>
            <w:tcW w:w="1099" w:type="dxa"/>
            <w:shd w:val="clear" w:color="auto" w:fill="auto"/>
            <w:vAlign w:val="center"/>
          </w:tcPr>
          <w:p w14:paraId="154F03F7" w14:textId="3BFDD4C5" w:rsidR="00E440FE" w:rsidRPr="00CE1BE2" w:rsidRDefault="00A724FA" w:rsidP="005547E4">
            <w:pPr>
              <w:rPr>
                <w:iCs/>
              </w:rPr>
            </w:pPr>
            <w:r>
              <w:rPr>
                <w:i/>
                <w:iCs/>
              </w:rPr>
              <w:t>PT#01</w:t>
            </w:r>
          </w:p>
        </w:tc>
        <w:tc>
          <w:tcPr>
            <w:tcW w:w="2411" w:type="dxa"/>
            <w:shd w:val="clear" w:color="auto" w:fill="auto"/>
            <w:vAlign w:val="center"/>
          </w:tcPr>
          <w:p w14:paraId="1357CAB0" w14:textId="0DCA5802" w:rsidR="00E440FE" w:rsidRPr="00CE1BE2" w:rsidRDefault="00A724FA" w:rsidP="005547E4">
            <w:pPr>
              <w:rPr>
                <w:iCs/>
              </w:rPr>
            </w:pPr>
            <w:r>
              <w:rPr>
                <w:i/>
                <w:iCs/>
              </w:rPr>
              <w:t>Demonstration of MEC Service Scenario (new scenario)</w:t>
            </w:r>
          </w:p>
        </w:tc>
        <w:tc>
          <w:tcPr>
            <w:tcW w:w="1985" w:type="dxa"/>
            <w:shd w:val="clear" w:color="auto" w:fill="auto"/>
            <w:vAlign w:val="center"/>
          </w:tcPr>
          <w:p w14:paraId="2A077F01" w14:textId="472B2AE9" w:rsidR="00E440FE" w:rsidRPr="00CE1BE2" w:rsidRDefault="00A724FA" w:rsidP="005547E4">
            <w:pPr>
              <w:rPr>
                <w:iCs/>
              </w:rPr>
            </w:pPr>
            <w:r>
              <w:rPr>
                <w:i/>
                <w:iCs/>
              </w:rPr>
              <w:t>MEC-IEG004</w:t>
            </w:r>
          </w:p>
        </w:tc>
        <w:tc>
          <w:tcPr>
            <w:tcW w:w="2977" w:type="dxa"/>
            <w:shd w:val="clear" w:color="auto" w:fill="auto"/>
            <w:vAlign w:val="center"/>
          </w:tcPr>
          <w:p w14:paraId="7CA0249F" w14:textId="447EE5B8" w:rsidR="00E440FE" w:rsidRPr="00CE1BE2" w:rsidRDefault="00A724FA" w:rsidP="005547E4">
            <w:pPr>
              <w:rPr>
                <w:iCs/>
              </w:rPr>
            </w:pPr>
            <w:r>
              <w:rPr>
                <w:i/>
                <w:iCs/>
              </w:rPr>
              <w:t>Technical Report describing the Service Scenario and providing the lessons learnt and technical information requested by PT#01</w:t>
            </w:r>
          </w:p>
        </w:tc>
        <w:tc>
          <w:tcPr>
            <w:tcW w:w="1383" w:type="dxa"/>
            <w:shd w:val="clear" w:color="auto" w:fill="auto"/>
            <w:vAlign w:val="center"/>
          </w:tcPr>
          <w:p w14:paraId="26A9F11B" w14:textId="5357A2A9" w:rsidR="00E440FE" w:rsidRPr="00CE1BE2" w:rsidRDefault="00A724FA" w:rsidP="005547E4">
            <w:pPr>
              <w:rPr>
                <w:iCs/>
              </w:rPr>
            </w:pPr>
            <w:r>
              <w:rPr>
                <w:i/>
                <w:iCs/>
              </w:rPr>
              <w:t>Q1 2016</w:t>
            </w:r>
          </w:p>
        </w:tc>
      </w:tr>
      <w:tr w:rsidR="00E440FE" w:rsidRPr="00CE1BE2" w14:paraId="3F829671" w14:textId="77777777" w:rsidTr="005547E4">
        <w:trPr>
          <w:jc w:val="center"/>
        </w:trPr>
        <w:tc>
          <w:tcPr>
            <w:tcW w:w="1099" w:type="dxa"/>
            <w:shd w:val="clear" w:color="auto" w:fill="auto"/>
            <w:vAlign w:val="center"/>
          </w:tcPr>
          <w:p w14:paraId="13575F58" w14:textId="77777777" w:rsidR="00E440FE" w:rsidRPr="00CE1BE2" w:rsidRDefault="00E440FE" w:rsidP="005547E4">
            <w:pPr>
              <w:rPr>
                <w:iCs/>
              </w:rPr>
            </w:pPr>
          </w:p>
        </w:tc>
        <w:tc>
          <w:tcPr>
            <w:tcW w:w="2411" w:type="dxa"/>
            <w:shd w:val="clear" w:color="auto" w:fill="auto"/>
            <w:vAlign w:val="center"/>
          </w:tcPr>
          <w:p w14:paraId="19F15E0E" w14:textId="77777777" w:rsidR="00E440FE" w:rsidRPr="00CE1BE2" w:rsidRDefault="00E440FE" w:rsidP="005547E4">
            <w:pPr>
              <w:rPr>
                <w:iCs/>
              </w:rPr>
            </w:pPr>
          </w:p>
        </w:tc>
        <w:tc>
          <w:tcPr>
            <w:tcW w:w="1985" w:type="dxa"/>
            <w:shd w:val="clear" w:color="auto" w:fill="auto"/>
            <w:vAlign w:val="center"/>
          </w:tcPr>
          <w:p w14:paraId="5BB20392" w14:textId="77777777" w:rsidR="00E440FE" w:rsidRPr="00CE1BE2" w:rsidRDefault="00E440FE" w:rsidP="005547E4">
            <w:pPr>
              <w:rPr>
                <w:iCs/>
              </w:rPr>
            </w:pPr>
          </w:p>
        </w:tc>
        <w:tc>
          <w:tcPr>
            <w:tcW w:w="2977" w:type="dxa"/>
            <w:shd w:val="clear" w:color="auto" w:fill="auto"/>
            <w:vAlign w:val="center"/>
          </w:tcPr>
          <w:p w14:paraId="573FD2A0" w14:textId="77777777" w:rsidR="00E440FE" w:rsidRPr="00CE1BE2" w:rsidRDefault="00E440FE" w:rsidP="005547E4">
            <w:pPr>
              <w:rPr>
                <w:iCs/>
              </w:rPr>
            </w:pPr>
          </w:p>
        </w:tc>
        <w:tc>
          <w:tcPr>
            <w:tcW w:w="1383" w:type="dxa"/>
            <w:shd w:val="clear" w:color="auto" w:fill="auto"/>
            <w:vAlign w:val="center"/>
          </w:tcPr>
          <w:p w14:paraId="4680351E" w14:textId="77777777" w:rsidR="00E440FE" w:rsidRPr="00CE1BE2" w:rsidRDefault="00E440FE" w:rsidP="005547E4">
            <w:pPr>
              <w:rPr>
                <w:iCs/>
              </w:rPr>
            </w:pPr>
          </w:p>
        </w:tc>
      </w:tr>
      <w:tr w:rsidR="00E440FE" w:rsidRPr="00CE1BE2" w14:paraId="501D94E8" w14:textId="77777777" w:rsidTr="005547E4">
        <w:trPr>
          <w:jc w:val="center"/>
        </w:trPr>
        <w:tc>
          <w:tcPr>
            <w:tcW w:w="1099" w:type="dxa"/>
            <w:shd w:val="clear" w:color="auto" w:fill="auto"/>
            <w:vAlign w:val="center"/>
          </w:tcPr>
          <w:p w14:paraId="0FD23F07" w14:textId="77777777" w:rsidR="00E440FE" w:rsidRPr="00CE1BE2" w:rsidRDefault="00E440FE" w:rsidP="005547E4">
            <w:pPr>
              <w:rPr>
                <w:iCs/>
              </w:rPr>
            </w:pPr>
          </w:p>
        </w:tc>
        <w:tc>
          <w:tcPr>
            <w:tcW w:w="2411" w:type="dxa"/>
            <w:shd w:val="clear" w:color="auto" w:fill="auto"/>
            <w:vAlign w:val="center"/>
          </w:tcPr>
          <w:p w14:paraId="0FC89815" w14:textId="77777777" w:rsidR="00E440FE" w:rsidRPr="00CE1BE2" w:rsidRDefault="00E440FE" w:rsidP="005547E4">
            <w:pPr>
              <w:rPr>
                <w:iCs/>
              </w:rPr>
            </w:pPr>
          </w:p>
        </w:tc>
        <w:tc>
          <w:tcPr>
            <w:tcW w:w="1985" w:type="dxa"/>
            <w:shd w:val="clear" w:color="auto" w:fill="auto"/>
            <w:vAlign w:val="center"/>
          </w:tcPr>
          <w:p w14:paraId="1D7F1B5F" w14:textId="77777777" w:rsidR="00E440FE" w:rsidRPr="00CE1BE2" w:rsidRDefault="00E440FE" w:rsidP="005547E4">
            <w:pPr>
              <w:rPr>
                <w:iCs/>
              </w:rPr>
            </w:pPr>
          </w:p>
        </w:tc>
        <w:tc>
          <w:tcPr>
            <w:tcW w:w="2977" w:type="dxa"/>
            <w:shd w:val="clear" w:color="auto" w:fill="auto"/>
            <w:vAlign w:val="center"/>
          </w:tcPr>
          <w:p w14:paraId="3049D8C4" w14:textId="77777777" w:rsidR="00E440FE" w:rsidRPr="00CE1BE2" w:rsidRDefault="00E440FE" w:rsidP="005547E4">
            <w:pPr>
              <w:rPr>
                <w:iCs/>
              </w:rPr>
            </w:pPr>
          </w:p>
        </w:tc>
        <w:tc>
          <w:tcPr>
            <w:tcW w:w="1383" w:type="dxa"/>
            <w:shd w:val="clear" w:color="auto" w:fill="auto"/>
            <w:vAlign w:val="center"/>
          </w:tcPr>
          <w:p w14:paraId="1C0D9519" w14:textId="77777777" w:rsidR="00E440FE" w:rsidRPr="00CE1BE2" w:rsidRDefault="00E440FE" w:rsidP="005547E4">
            <w:pPr>
              <w:rPr>
                <w:iCs/>
              </w:rPr>
            </w:pPr>
          </w:p>
        </w:tc>
      </w:tr>
      <w:tr w:rsidR="00E440FE" w:rsidRPr="00CE1BE2" w14:paraId="4B5B23FE" w14:textId="77777777" w:rsidTr="005547E4">
        <w:trPr>
          <w:jc w:val="center"/>
        </w:trPr>
        <w:tc>
          <w:tcPr>
            <w:tcW w:w="1099" w:type="dxa"/>
            <w:shd w:val="clear" w:color="auto" w:fill="auto"/>
            <w:vAlign w:val="center"/>
          </w:tcPr>
          <w:p w14:paraId="19E6644C" w14:textId="77777777" w:rsidR="00E440FE" w:rsidRPr="00CE1BE2" w:rsidRDefault="00E440FE" w:rsidP="005547E4">
            <w:pPr>
              <w:rPr>
                <w:iCs/>
              </w:rPr>
            </w:pPr>
          </w:p>
        </w:tc>
        <w:tc>
          <w:tcPr>
            <w:tcW w:w="2411" w:type="dxa"/>
            <w:shd w:val="clear" w:color="auto" w:fill="auto"/>
            <w:vAlign w:val="center"/>
          </w:tcPr>
          <w:p w14:paraId="36A26D2F" w14:textId="77777777" w:rsidR="00E440FE" w:rsidRPr="00CE1BE2" w:rsidRDefault="00E440FE" w:rsidP="005547E4">
            <w:pPr>
              <w:rPr>
                <w:iCs/>
              </w:rPr>
            </w:pPr>
          </w:p>
        </w:tc>
        <w:tc>
          <w:tcPr>
            <w:tcW w:w="1985" w:type="dxa"/>
            <w:shd w:val="clear" w:color="auto" w:fill="auto"/>
            <w:vAlign w:val="center"/>
          </w:tcPr>
          <w:p w14:paraId="1043790C" w14:textId="77777777" w:rsidR="00E440FE" w:rsidRPr="00CE1BE2" w:rsidRDefault="00E440FE" w:rsidP="005547E4">
            <w:pPr>
              <w:rPr>
                <w:iCs/>
              </w:rPr>
            </w:pPr>
          </w:p>
        </w:tc>
        <w:tc>
          <w:tcPr>
            <w:tcW w:w="2977" w:type="dxa"/>
            <w:shd w:val="clear" w:color="auto" w:fill="auto"/>
            <w:vAlign w:val="center"/>
          </w:tcPr>
          <w:p w14:paraId="07877417" w14:textId="77777777" w:rsidR="00E440FE" w:rsidRPr="00CE1BE2" w:rsidRDefault="00E440FE" w:rsidP="005547E4">
            <w:pPr>
              <w:rPr>
                <w:iCs/>
              </w:rPr>
            </w:pPr>
          </w:p>
        </w:tc>
        <w:tc>
          <w:tcPr>
            <w:tcW w:w="1383" w:type="dxa"/>
            <w:shd w:val="clear" w:color="auto" w:fill="auto"/>
            <w:vAlign w:val="center"/>
          </w:tcPr>
          <w:p w14:paraId="727D48B4" w14:textId="77777777" w:rsidR="00E440FE" w:rsidRPr="00CE1BE2" w:rsidRDefault="00E440FE" w:rsidP="005547E4">
            <w:pPr>
              <w:rPr>
                <w:iCs/>
              </w:rPr>
            </w:pPr>
          </w:p>
        </w:tc>
      </w:tr>
    </w:tbl>
    <w:p w14:paraId="028091D5" w14:textId="77777777" w:rsidR="00E440FE" w:rsidRPr="00CE1BE2" w:rsidRDefault="00E440FE" w:rsidP="00E440FE"/>
    <w:p w14:paraId="19674198" w14:textId="77777777" w:rsidR="00E440FE" w:rsidRPr="00CE1BE2" w:rsidRDefault="00E440FE" w:rsidP="00E440FE">
      <w:pPr>
        <w:pStyle w:val="Heading3"/>
      </w:pPr>
      <w:bookmarkStart w:id="23" w:name="_Toc414607463"/>
      <w:bookmarkStart w:id="24" w:name="_Toc414607523"/>
      <w:r w:rsidRPr="00CE1BE2">
        <w:t>1.3.2</w:t>
      </w:r>
      <w:r w:rsidRPr="00CE1BE2">
        <w:tab/>
        <w:t>Other topics in scope</w:t>
      </w:r>
      <w:bookmarkEnd w:id="23"/>
      <w:bookmarkEnd w:id="24"/>
    </w:p>
    <w:p w14:paraId="294C13F4" w14:textId="77777777" w:rsidR="00E440FE" w:rsidRPr="00CE1BE2" w:rsidRDefault="00E440FE" w:rsidP="00E440FE">
      <w:r w:rsidRPr="00CE1BE2">
        <w:t>List here any additional topic for which the PoC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14:paraId="7790AD2E" w14:textId="77777777" w:rsidTr="005547E4">
        <w:trPr>
          <w:jc w:val="center"/>
        </w:trPr>
        <w:tc>
          <w:tcPr>
            <w:tcW w:w="1099" w:type="dxa"/>
            <w:shd w:val="clear" w:color="auto" w:fill="D9D9D9"/>
            <w:vAlign w:val="center"/>
          </w:tcPr>
          <w:p w14:paraId="66A636CE" w14:textId="77777777" w:rsidR="00E440FE" w:rsidRPr="00CE1BE2" w:rsidRDefault="00E440FE" w:rsidP="005547E4">
            <w:pPr>
              <w:pStyle w:val="TAH"/>
            </w:pPr>
            <w:r w:rsidRPr="00CE1BE2">
              <w:lastRenderedPageBreak/>
              <w:t>PoC Topic Code</w:t>
            </w:r>
          </w:p>
        </w:tc>
        <w:tc>
          <w:tcPr>
            <w:tcW w:w="2411" w:type="dxa"/>
            <w:shd w:val="clear" w:color="auto" w:fill="D9D9D9"/>
            <w:vAlign w:val="center"/>
          </w:tcPr>
          <w:p w14:paraId="11915B66" w14:textId="77777777" w:rsidR="00E440FE" w:rsidRPr="00CE1BE2" w:rsidRDefault="00E440FE" w:rsidP="005547E4">
            <w:pPr>
              <w:pStyle w:val="TAH"/>
            </w:pPr>
            <w:r w:rsidRPr="00CE1BE2">
              <w:t>PoC Topic Description</w:t>
            </w:r>
          </w:p>
        </w:tc>
        <w:tc>
          <w:tcPr>
            <w:tcW w:w="1985" w:type="dxa"/>
            <w:shd w:val="clear" w:color="auto" w:fill="D9D9D9"/>
            <w:vAlign w:val="center"/>
          </w:tcPr>
          <w:p w14:paraId="106C1460" w14:textId="77777777" w:rsidR="00E440FE" w:rsidRPr="00CE1BE2" w:rsidRDefault="00E440FE" w:rsidP="005547E4">
            <w:pPr>
              <w:pStyle w:val="TAH"/>
            </w:pPr>
            <w:r w:rsidRPr="00CE1BE2">
              <w:t>Related WG/WI</w:t>
            </w:r>
          </w:p>
        </w:tc>
        <w:tc>
          <w:tcPr>
            <w:tcW w:w="2977" w:type="dxa"/>
            <w:shd w:val="clear" w:color="auto" w:fill="D9D9D9"/>
            <w:vAlign w:val="center"/>
          </w:tcPr>
          <w:p w14:paraId="1D5662D2" w14:textId="77777777" w:rsidR="00E440FE" w:rsidRPr="00CE1BE2" w:rsidRDefault="00E440FE" w:rsidP="005547E4">
            <w:pPr>
              <w:pStyle w:val="TAH"/>
            </w:pPr>
            <w:r w:rsidRPr="00CE1BE2">
              <w:t>Expected Contribution</w:t>
            </w:r>
          </w:p>
        </w:tc>
        <w:tc>
          <w:tcPr>
            <w:tcW w:w="1383" w:type="dxa"/>
            <w:shd w:val="clear" w:color="auto" w:fill="D9D9D9"/>
            <w:vAlign w:val="center"/>
          </w:tcPr>
          <w:p w14:paraId="1619D1C2" w14:textId="77777777" w:rsidR="00E440FE" w:rsidRPr="00CE1BE2" w:rsidRDefault="00E440FE" w:rsidP="005547E4">
            <w:pPr>
              <w:pStyle w:val="TAH"/>
            </w:pPr>
            <w:r w:rsidRPr="00CE1BE2">
              <w:t>Target Date</w:t>
            </w:r>
          </w:p>
        </w:tc>
      </w:tr>
      <w:tr w:rsidR="00E440FE" w:rsidRPr="00CE1BE2" w14:paraId="5481CD8C" w14:textId="77777777" w:rsidTr="005547E4">
        <w:trPr>
          <w:jc w:val="center"/>
        </w:trPr>
        <w:tc>
          <w:tcPr>
            <w:tcW w:w="1099" w:type="dxa"/>
            <w:shd w:val="clear" w:color="auto" w:fill="auto"/>
            <w:vAlign w:val="center"/>
          </w:tcPr>
          <w:p w14:paraId="0450B646" w14:textId="10460523" w:rsidR="00E440FE" w:rsidRPr="00CE1BE2" w:rsidRDefault="00A724FA" w:rsidP="005547E4">
            <w:pPr>
              <w:pStyle w:val="TAL"/>
            </w:pPr>
            <w:r>
              <w:t>n/a</w:t>
            </w:r>
          </w:p>
        </w:tc>
        <w:tc>
          <w:tcPr>
            <w:tcW w:w="2411" w:type="dxa"/>
            <w:shd w:val="clear" w:color="auto" w:fill="auto"/>
            <w:vAlign w:val="center"/>
          </w:tcPr>
          <w:p w14:paraId="276D58F3" w14:textId="77777777" w:rsidR="00E440FE" w:rsidRPr="00CE1BE2" w:rsidRDefault="00E440FE" w:rsidP="005547E4">
            <w:pPr>
              <w:pStyle w:val="TAL"/>
            </w:pPr>
          </w:p>
        </w:tc>
        <w:tc>
          <w:tcPr>
            <w:tcW w:w="1985" w:type="dxa"/>
            <w:shd w:val="clear" w:color="auto" w:fill="auto"/>
            <w:vAlign w:val="center"/>
          </w:tcPr>
          <w:p w14:paraId="28FA1AA0" w14:textId="77777777" w:rsidR="00E440FE" w:rsidRPr="00CE1BE2" w:rsidRDefault="00E440FE" w:rsidP="005547E4">
            <w:pPr>
              <w:pStyle w:val="TAL"/>
            </w:pPr>
          </w:p>
        </w:tc>
        <w:tc>
          <w:tcPr>
            <w:tcW w:w="2977" w:type="dxa"/>
            <w:shd w:val="clear" w:color="auto" w:fill="auto"/>
            <w:vAlign w:val="center"/>
          </w:tcPr>
          <w:p w14:paraId="1DDC3662" w14:textId="77777777" w:rsidR="00E440FE" w:rsidRPr="00CE1BE2" w:rsidRDefault="00E440FE" w:rsidP="005547E4">
            <w:pPr>
              <w:pStyle w:val="TAL"/>
            </w:pPr>
          </w:p>
        </w:tc>
        <w:tc>
          <w:tcPr>
            <w:tcW w:w="1383" w:type="dxa"/>
            <w:shd w:val="clear" w:color="auto" w:fill="auto"/>
            <w:vAlign w:val="center"/>
          </w:tcPr>
          <w:p w14:paraId="241F014E" w14:textId="77777777" w:rsidR="00E440FE" w:rsidRPr="00CE1BE2" w:rsidRDefault="00E440FE" w:rsidP="005547E4">
            <w:pPr>
              <w:pStyle w:val="TAL"/>
            </w:pPr>
          </w:p>
        </w:tc>
      </w:tr>
      <w:tr w:rsidR="00E440FE" w:rsidRPr="00CE1BE2" w14:paraId="00FF76D2" w14:textId="77777777" w:rsidTr="005547E4">
        <w:trPr>
          <w:jc w:val="center"/>
        </w:trPr>
        <w:tc>
          <w:tcPr>
            <w:tcW w:w="1099" w:type="dxa"/>
            <w:shd w:val="clear" w:color="auto" w:fill="auto"/>
            <w:vAlign w:val="center"/>
          </w:tcPr>
          <w:p w14:paraId="12B76741" w14:textId="693FCF2D" w:rsidR="00E440FE" w:rsidRPr="00CE1BE2" w:rsidRDefault="00E440FE" w:rsidP="005547E4">
            <w:pPr>
              <w:pStyle w:val="TAL"/>
            </w:pPr>
          </w:p>
        </w:tc>
        <w:tc>
          <w:tcPr>
            <w:tcW w:w="2411" w:type="dxa"/>
            <w:shd w:val="clear" w:color="auto" w:fill="auto"/>
            <w:vAlign w:val="center"/>
          </w:tcPr>
          <w:p w14:paraId="2100D19A" w14:textId="77777777" w:rsidR="00E440FE" w:rsidRPr="00CE1BE2" w:rsidRDefault="00E440FE" w:rsidP="005547E4">
            <w:pPr>
              <w:pStyle w:val="TAL"/>
            </w:pPr>
          </w:p>
        </w:tc>
        <w:tc>
          <w:tcPr>
            <w:tcW w:w="1985" w:type="dxa"/>
            <w:shd w:val="clear" w:color="auto" w:fill="auto"/>
            <w:vAlign w:val="center"/>
          </w:tcPr>
          <w:p w14:paraId="3775C222" w14:textId="77777777" w:rsidR="00E440FE" w:rsidRPr="00CE1BE2" w:rsidRDefault="00E440FE" w:rsidP="005547E4">
            <w:pPr>
              <w:pStyle w:val="TAL"/>
            </w:pPr>
          </w:p>
        </w:tc>
        <w:tc>
          <w:tcPr>
            <w:tcW w:w="2977" w:type="dxa"/>
            <w:shd w:val="clear" w:color="auto" w:fill="auto"/>
            <w:vAlign w:val="center"/>
          </w:tcPr>
          <w:p w14:paraId="3BA56D3D" w14:textId="77777777" w:rsidR="00E440FE" w:rsidRPr="00CE1BE2" w:rsidRDefault="00E440FE" w:rsidP="005547E4">
            <w:pPr>
              <w:pStyle w:val="TAL"/>
            </w:pPr>
          </w:p>
        </w:tc>
        <w:tc>
          <w:tcPr>
            <w:tcW w:w="1383" w:type="dxa"/>
            <w:shd w:val="clear" w:color="auto" w:fill="auto"/>
            <w:vAlign w:val="center"/>
          </w:tcPr>
          <w:p w14:paraId="545CA3A9" w14:textId="77777777" w:rsidR="00E440FE" w:rsidRPr="00CE1BE2" w:rsidRDefault="00E440FE" w:rsidP="005547E4">
            <w:pPr>
              <w:pStyle w:val="TAL"/>
            </w:pPr>
          </w:p>
        </w:tc>
      </w:tr>
      <w:tr w:rsidR="00E440FE" w:rsidRPr="00CE1BE2" w14:paraId="4C5D1CCA" w14:textId="77777777" w:rsidTr="005547E4">
        <w:trPr>
          <w:jc w:val="center"/>
        </w:trPr>
        <w:tc>
          <w:tcPr>
            <w:tcW w:w="1099" w:type="dxa"/>
            <w:shd w:val="clear" w:color="auto" w:fill="auto"/>
            <w:vAlign w:val="center"/>
          </w:tcPr>
          <w:p w14:paraId="637E0365" w14:textId="4FFBEBC8" w:rsidR="00E440FE" w:rsidRPr="00CE1BE2" w:rsidRDefault="00E440FE" w:rsidP="005547E4">
            <w:pPr>
              <w:pStyle w:val="TAL"/>
            </w:pPr>
          </w:p>
        </w:tc>
        <w:tc>
          <w:tcPr>
            <w:tcW w:w="2411" w:type="dxa"/>
            <w:shd w:val="clear" w:color="auto" w:fill="auto"/>
            <w:vAlign w:val="center"/>
          </w:tcPr>
          <w:p w14:paraId="745520DE" w14:textId="77777777" w:rsidR="00E440FE" w:rsidRPr="00CE1BE2" w:rsidRDefault="00E440FE" w:rsidP="005547E4">
            <w:pPr>
              <w:pStyle w:val="TAL"/>
            </w:pPr>
          </w:p>
        </w:tc>
        <w:tc>
          <w:tcPr>
            <w:tcW w:w="1985" w:type="dxa"/>
            <w:shd w:val="clear" w:color="auto" w:fill="auto"/>
            <w:vAlign w:val="center"/>
          </w:tcPr>
          <w:p w14:paraId="00DACE87" w14:textId="77777777" w:rsidR="00E440FE" w:rsidRPr="00CE1BE2" w:rsidRDefault="00E440FE" w:rsidP="005547E4">
            <w:pPr>
              <w:pStyle w:val="TAL"/>
            </w:pPr>
          </w:p>
        </w:tc>
        <w:tc>
          <w:tcPr>
            <w:tcW w:w="2977" w:type="dxa"/>
            <w:shd w:val="clear" w:color="auto" w:fill="auto"/>
            <w:vAlign w:val="center"/>
          </w:tcPr>
          <w:p w14:paraId="6531B77B" w14:textId="77777777" w:rsidR="00E440FE" w:rsidRPr="00CE1BE2" w:rsidRDefault="00E440FE" w:rsidP="005547E4">
            <w:pPr>
              <w:pStyle w:val="TAL"/>
            </w:pPr>
          </w:p>
        </w:tc>
        <w:tc>
          <w:tcPr>
            <w:tcW w:w="1383" w:type="dxa"/>
            <w:shd w:val="clear" w:color="auto" w:fill="auto"/>
            <w:vAlign w:val="center"/>
          </w:tcPr>
          <w:p w14:paraId="3F58CA7E" w14:textId="77777777" w:rsidR="00E440FE" w:rsidRPr="00CE1BE2" w:rsidRDefault="00E440FE" w:rsidP="005547E4">
            <w:pPr>
              <w:pStyle w:val="TAL"/>
            </w:pPr>
          </w:p>
        </w:tc>
      </w:tr>
      <w:tr w:rsidR="00E440FE" w:rsidRPr="00CE1BE2" w14:paraId="6BEDA4C4" w14:textId="77777777" w:rsidTr="005547E4">
        <w:trPr>
          <w:jc w:val="center"/>
        </w:trPr>
        <w:tc>
          <w:tcPr>
            <w:tcW w:w="1099" w:type="dxa"/>
            <w:shd w:val="clear" w:color="auto" w:fill="auto"/>
            <w:vAlign w:val="center"/>
          </w:tcPr>
          <w:p w14:paraId="2B264322" w14:textId="77777777" w:rsidR="00E440FE" w:rsidRPr="00CE1BE2" w:rsidRDefault="00E440FE" w:rsidP="005547E4">
            <w:pPr>
              <w:pStyle w:val="TAL"/>
            </w:pPr>
          </w:p>
        </w:tc>
        <w:tc>
          <w:tcPr>
            <w:tcW w:w="2411" w:type="dxa"/>
            <w:shd w:val="clear" w:color="auto" w:fill="auto"/>
            <w:vAlign w:val="center"/>
          </w:tcPr>
          <w:p w14:paraId="75EA2958" w14:textId="77777777" w:rsidR="00E440FE" w:rsidRPr="00CE1BE2" w:rsidRDefault="00E440FE" w:rsidP="005547E4">
            <w:pPr>
              <w:pStyle w:val="TAL"/>
            </w:pPr>
          </w:p>
        </w:tc>
        <w:tc>
          <w:tcPr>
            <w:tcW w:w="1985" w:type="dxa"/>
            <w:shd w:val="clear" w:color="auto" w:fill="auto"/>
            <w:vAlign w:val="center"/>
          </w:tcPr>
          <w:p w14:paraId="33410570" w14:textId="77777777" w:rsidR="00E440FE" w:rsidRPr="00CE1BE2" w:rsidRDefault="00E440FE" w:rsidP="005547E4">
            <w:pPr>
              <w:pStyle w:val="TAL"/>
            </w:pPr>
          </w:p>
        </w:tc>
        <w:tc>
          <w:tcPr>
            <w:tcW w:w="2977" w:type="dxa"/>
            <w:shd w:val="clear" w:color="auto" w:fill="auto"/>
            <w:vAlign w:val="center"/>
          </w:tcPr>
          <w:p w14:paraId="607A65E3" w14:textId="77777777" w:rsidR="00E440FE" w:rsidRPr="00CE1BE2" w:rsidRDefault="00E440FE" w:rsidP="005547E4">
            <w:pPr>
              <w:pStyle w:val="TAL"/>
            </w:pPr>
          </w:p>
        </w:tc>
        <w:tc>
          <w:tcPr>
            <w:tcW w:w="1383" w:type="dxa"/>
            <w:shd w:val="clear" w:color="auto" w:fill="auto"/>
            <w:vAlign w:val="center"/>
          </w:tcPr>
          <w:p w14:paraId="52A3AB40" w14:textId="77777777" w:rsidR="00E440FE" w:rsidRPr="00CE1BE2" w:rsidRDefault="00E440FE" w:rsidP="005547E4">
            <w:pPr>
              <w:pStyle w:val="TAL"/>
            </w:pPr>
          </w:p>
        </w:tc>
      </w:tr>
    </w:tbl>
    <w:p w14:paraId="16D6F056" w14:textId="77777777" w:rsidR="00E440FE" w:rsidRPr="00CE1BE2" w:rsidRDefault="00E440FE" w:rsidP="00E440FE"/>
    <w:p w14:paraId="4ECED3E8" w14:textId="0E9129DB" w:rsidR="00E440FE" w:rsidRPr="00CE1BE2" w:rsidRDefault="00E440FE" w:rsidP="00E440FE">
      <w:pPr>
        <w:pStyle w:val="Heading2"/>
      </w:pPr>
      <w:bookmarkStart w:id="25" w:name="_Toc414543496"/>
      <w:bookmarkStart w:id="26" w:name="_Toc414607464"/>
      <w:bookmarkStart w:id="27" w:name="_Toc414607524"/>
      <w:r w:rsidRPr="00CE1BE2">
        <w:t>1.4</w:t>
      </w:r>
      <w:r w:rsidRPr="00CE1BE2">
        <w:tab/>
        <w:t>PoC Project Milestones</w:t>
      </w:r>
      <w:bookmarkEnd w:id="25"/>
      <w:bookmarkEnd w:id="26"/>
      <w:bookmarkEnd w:id="27"/>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1181"/>
        <w:gridCol w:w="3769"/>
      </w:tblGrid>
      <w:tr w:rsidR="00E440FE" w:rsidRPr="00CE1BE2" w14:paraId="2A5D76C6" w14:textId="77777777" w:rsidTr="00C319EC">
        <w:trPr>
          <w:jc w:val="center"/>
        </w:trPr>
        <w:tc>
          <w:tcPr>
            <w:tcW w:w="1396" w:type="dxa"/>
            <w:shd w:val="clear" w:color="auto" w:fill="D9D9D9"/>
            <w:vAlign w:val="center"/>
          </w:tcPr>
          <w:p w14:paraId="6FA43BC0" w14:textId="77777777" w:rsidR="00E440FE" w:rsidRPr="00CE1BE2" w:rsidRDefault="00E440FE" w:rsidP="005547E4">
            <w:pPr>
              <w:pStyle w:val="TAH"/>
            </w:pPr>
            <w:r w:rsidRPr="00CE1BE2">
              <w:t>PoC Milestone</w:t>
            </w:r>
          </w:p>
        </w:tc>
        <w:tc>
          <w:tcPr>
            <w:tcW w:w="3514" w:type="dxa"/>
            <w:shd w:val="clear" w:color="auto" w:fill="D9D9D9"/>
            <w:vAlign w:val="center"/>
          </w:tcPr>
          <w:p w14:paraId="0A95381A" w14:textId="77777777" w:rsidR="00E440FE" w:rsidRPr="00CE1BE2" w:rsidRDefault="00E440FE" w:rsidP="005547E4">
            <w:pPr>
              <w:pStyle w:val="TAH"/>
            </w:pPr>
            <w:r w:rsidRPr="00CE1BE2">
              <w:t>Milestone description</w:t>
            </w:r>
          </w:p>
        </w:tc>
        <w:tc>
          <w:tcPr>
            <w:tcW w:w="1181" w:type="dxa"/>
            <w:shd w:val="clear" w:color="auto" w:fill="D9D9D9"/>
            <w:vAlign w:val="center"/>
          </w:tcPr>
          <w:p w14:paraId="199600F5" w14:textId="77777777" w:rsidR="00E440FE" w:rsidRPr="00CE1BE2" w:rsidRDefault="00E440FE" w:rsidP="005547E4">
            <w:pPr>
              <w:pStyle w:val="TAH"/>
            </w:pPr>
            <w:r w:rsidRPr="00CE1BE2">
              <w:t>Target Date</w:t>
            </w:r>
          </w:p>
        </w:tc>
        <w:tc>
          <w:tcPr>
            <w:tcW w:w="3769" w:type="dxa"/>
            <w:shd w:val="clear" w:color="auto" w:fill="D9D9D9"/>
            <w:vAlign w:val="center"/>
          </w:tcPr>
          <w:p w14:paraId="2AAF83BB" w14:textId="77777777" w:rsidR="00E440FE" w:rsidRPr="00CE1BE2" w:rsidRDefault="00E440FE" w:rsidP="005547E4">
            <w:pPr>
              <w:pStyle w:val="TAH"/>
            </w:pPr>
            <w:r w:rsidRPr="00CE1BE2">
              <w:t>Additional Info</w:t>
            </w:r>
          </w:p>
        </w:tc>
      </w:tr>
      <w:tr w:rsidR="00E440FE" w:rsidRPr="00CE1BE2" w14:paraId="39B0524F" w14:textId="77777777" w:rsidTr="00C319EC">
        <w:trPr>
          <w:jc w:val="center"/>
        </w:trPr>
        <w:tc>
          <w:tcPr>
            <w:tcW w:w="1396" w:type="dxa"/>
            <w:shd w:val="clear" w:color="auto" w:fill="auto"/>
            <w:vAlign w:val="center"/>
          </w:tcPr>
          <w:p w14:paraId="5EA25B9A" w14:textId="77777777" w:rsidR="00E440FE" w:rsidRPr="00CE1BE2" w:rsidRDefault="00E440FE" w:rsidP="005547E4">
            <w:pPr>
              <w:pStyle w:val="TAL"/>
            </w:pPr>
            <w:r w:rsidRPr="00CE1BE2">
              <w:t>P.S</w:t>
            </w:r>
          </w:p>
        </w:tc>
        <w:tc>
          <w:tcPr>
            <w:tcW w:w="3514" w:type="dxa"/>
            <w:shd w:val="clear" w:color="auto" w:fill="auto"/>
            <w:vAlign w:val="center"/>
          </w:tcPr>
          <w:p w14:paraId="15A0FC56" w14:textId="77777777" w:rsidR="00E440FE" w:rsidRPr="00CE1BE2" w:rsidRDefault="00E440FE" w:rsidP="005547E4">
            <w:pPr>
              <w:pStyle w:val="TAL"/>
            </w:pPr>
            <w:r w:rsidRPr="00CE1BE2">
              <w:t>PoC Project Start</w:t>
            </w:r>
          </w:p>
        </w:tc>
        <w:tc>
          <w:tcPr>
            <w:tcW w:w="1181" w:type="dxa"/>
            <w:shd w:val="clear" w:color="auto" w:fill="auto"/>
            <w:vAlign w:val="center"/>
          </w:tcPr>
          <w:p w14:paraId="5BFD3D77" w14:textId="72FCACF5" w:rsidR="00E440FE" w:rsidRPr="00CE1BE2" w:rsidRDefault="00095671" w:rsidP="002956E5">
            <w:pPr>
              <w:pStyle w:val="TAL"/>
            </w:pPr>
            <w:r>
              <w:t>Oct</w:t>
            </w:r>
            <w:r w:rsidR="002956E5">
              <w:t xml:space="preserve"> </w:t>
            </w:r>
            <w:r w:rsidR="00E440FE">
              <w:t>2015</w:t>
            </w:r>
          </w:p>
        </w:tc>
        <w:tc>
          <w:tcPr>
            <w:tcW w:w="3769" w:type="dxa"/>
            <w:shd w:val="clear" w:color="auto" w:fill="auto"/>
            <w:vAlign w:val="center"/>
          </w:tcPr>
          <w:p w14:paraId="1D2BF059" w14:textId="77777777" w:rsidR="00E440FE" w:rsidRPr="00CE1BE2" w:rsidRDefault="00E440FE" w:rsidP="005547E4">
            <w:pPr>
              <w:pStyle w:val="TAL"/>
            </w:pPr>
          </w:p>
        </w:tc>
      </w:tr>
      <w:tr w:rsidR="00E440FE" w:rsidRPr="00CE1BE2" w14:paraId="2B492EC0" w14:textId="77777777" w:rsidTr="00C319EC">
        <w:trPr>
          <w:jc w:val="center"/>
        </w:trPr>
        <w:tc>
          <w:tcPr>
            <w:tcW w:w="1396" w:type="dxa"/>
            <w:shd w:val="clear" w:color="auto" w:fill="auto"/>
            <w:vAlign w:val="center"/>
          </w:tcPr>
          <w:p w14:paraId="310D4FF8" w14:textId="00941949" w:rsidR="00E440FE" w:rsidRPr="00CE1BE2" w:rsidRDefault="00E440FE" w:rsidP="005547E4">
            <w:pPr>
              <w:pStyle w:val="TAL"/>
            </w:pPr>
            <w:r>
              <w:t>P.D</w:t>
            </w:r>
            <w:r w:rsidR="0020736E">
              <w:t>1</w:t>
            </w:r>
          </w:p>
        </w:tc>
        <w:tc>
          <w:tcPr>
            <w:tcW w:w="3514" w:type="dxa"/>
            <w:shd w:val="clear" w:color="auto" w:fill="auto"/>
            <w:vAlign w:val="center"/>
          </w:tcPr>
          <w:p w14:paraId="66C1AE3D" w14:textId="4C9AA823" w:rsidR="00E440FE" w:rsidRPr="00CE1BE2" w:rsidRDefault="00E440FE" w:rsidP="00095671">
            <w:pPr>
              <w:pStyle w:val="TAL"/>
            </w:pPr>
            <w:r w:rsidRPr="000D6867">
              <w:t xml:space="preserve">PoC Demo </w:t>
            </w:r>
            <w:r w:rsidR="00095671" w:rsidRPr="000D6867">
              <w:t>at Connected Stadium Summit</w:t>
            </w:r>
            <w:r w:rsidR="00120561">
              <w:t>, Wembley Stadium, London</w:t>
            </w:r>
          </w:p>
        </w:tc>
        <w:tc>
          <w:tcPr>
            <w:tcW w:w="1181" w:type="dxa"/>
            <w:shd w:val="clear" w:color="auto" w:fill="auto"/>
            <w:vAlign w:val="center"/>
          </w:tcPr>
          <w:p w14:paraId="2F464F80" w14:textId="64311D68" w:rsidR="00E440FE" w:rsidRDefault="002956E5" w:rsidP="002956E5">
            <w:pPr>
              <w:pStyle w:val="TAL"/>
            </w:pPr>
            <w:r>
              <w:t xml:space="preserve">24-25 </w:t>
            </w:r>
            <w:r w:rsidR="00095671">
              <w:t>Nov2015</w:t>
            </w:r>
          </w:p>
        </w:tc>
        <w:tc>
          <w:tcPr>
            <w:tcW w:w="3769" w:type="dxa"/>
            <w:shd w:val="clear" w:color="auto" w:fill="auto"/>
            <w:vAlign w:val="center"/>
          </w:tcPr>
          <w:p w14:paraId="3764A636" w14:textId="77777777" w:rsidR="00E440FE" w:rsidRDefault="00E440FE" w:rsidP="005547E4">
            <w:pPr>
              <w:pStyle w:val="TAL"/>
            </w:pPr>
          </w:p>
        </w:tc>
      </w:tr>
      <w:tr w:rsidR="002463B4" w:rsidRPr="00CE1BE2" w14:paraId="77007D4F" w14:textId="77777777" w:rsidTr="00C319EC">
        <w:trPr>
          <w:jc w:val="center"/>
        </w:trPr>
        <w:tc>
          <w:tcPr>
            <w:tcW w:w="1396" w:type="dxa"/>
            <w:shd w:val="clear" w:color="auto" w:fill="auto"/>
            <w:vAlign w:val="center"/>
          </w:tcPr>
          <w:p w14:paraId="312670F5" w14:textId="3028E3BD" w:rsidR="002463B4" w:rsidRPr="00CE1BE2" w:rsidRDefault="002463B4" w:rsidP="00E440FE">
            <w:pPr>
              <w:pStyle w:val="TAL"/>
            </w:pPr>
            <w:r>
              <w:t>P.D2</w:t>
            </w:r>
          </w:p>
        </w:tc>
        <w:tc>
          <w:tcPr>
            <w:tcW w:w="3514" w:type="dxa"/>
            <w:shd w:val="clear" w:color="auto" w:fill="auto"/>
            <w:vAlign w:val="center"/>
          </w:tcPr>
          <w:p w14:paraId="2AC82845" w14:textId="2BB58A8D" w:rsidR="002463B4" w:rsidRPr="00CE1BE2" w:rsidRDefault="002463B4" w:rsidP="00C319EC">
            <w:pPr>
              <w:pStyle w:val="TAL"/>
            </w:pPr>
            <w:r>
              <w:t>Webinar</w:t>
            </w:r>
          </w:p>
        </w:tc>
        <w:tc>
          <w:tcPr>
            <w:tcW w:w="1181" w:type="dxa"/>
            <w:shd w:val="clear" w:color="auto" w:fill="auto"/>
            <w:vAlign w:val="center"/>
          </w:tcPr>
          <w:p w14:paraId="5BBD9A8F" w14:textId="752F2452" w:rsidR="002463B4" w:rsidRDefault="002463B4" w:rsidP="00E440FE">
            <w:pPr>
              <w:pStyle w:val="TAL"/>
            </w:pPr>
            <w:r>
              <w:t>Q1-2016</w:t>
            </w:r>
          </w:p>
        </w:tc>
        <w:tc>
          <w:tcPr>
            <w:tcW w:w="3769" w:type="dxa"/>
            <w:shd w:val="clear" w:color="auto" w:fill="auto"/>
            <w:vAlign w:val="center"/>
          </w:tcPr>
          <w:p w14:paraId="13DF4255" w14:textId="77777777" w:rsidR="002463B4" w:rsidRPr="00CE1BE2" w:rsidRDefault="002463B4" w:rsidP="00E440FE">
            <w:pPr>
              <w:pStyle w:val="TAL"/>
            </w:pPr>
          </w:p>
        </w:tc>
      </w:tr>
      <w:tr w:rsidR="00E440FE" w:rsidRPr="00CE1BE2" w14:paraId="003A380F" w14:textId="77777777" w:rsidTr="00C319EC">
        <w:trPr>
          <w:jc w:val="center"/>
        </w:trPr>
        <w:tc>
          <w:tcPr>
            <w:tcW w:w="1396" w:type="dxa"/>
            <w:shd w:val="clear" w:color="auto" w:fill="auto"/>
            <w:vAlign w:val="center"/>
          </w:tcPr>
          <w:p w14:paraId="31933A04" w14:textId="77777777" w:rsidR="00E440FE" w:rsidRPr="00CE1BE2" w:rsidRDefault="00E440FE" w:rsidP="00E440FE">
            <w:pPr>
              <w:pStyle w:val="TAL"/>
            </w:pPr>
            <w:r w:rsidRPr="00CE1BE2">
              <w:t>P.C1</w:t>
            </w:r>
          </w:p>
        </w:tc>
        <w:tc>
          <w:tcPr>
            <w:tcW w:w="3514" w:type="dxa"/>
            <w:shd w:val="clear" w:color="auto" w:fill="auto"/>
            <w:vAlign w:val="center"/>
          </w:tcPr>
          <w:p w14:paraId="7825831E" w14:textId="4B420A27" w:rsidR="00E440FE" w:rsidRPr="00CE1BE2" w:rsidRDefault="00E440FE" w:rsidP="00C319EC">
            <w:pPr>
              <w:pStyle w:val="TAL"/>
            </w:pPr>
            <w:r w:rsidRPr="00CE1BE2">
              <w:t xml:space="preserve">PoC </w:t>
            </w:r>
            <w:r w:rsidR="00C319EC">
              <w:t>Technical Report</w:t>
            </w:r>
          </w:p>
        </w:tc>
        <w:tc>
          <w:tcPr>
            <w:tcW w:w="1181" w:type="dxa"/>
            <w:shd w:val="clear" w:color="auto" w:fill="auto"/>
            <w:vAlign w:val="center"/>
          </w:tcPr>
          <w:p w14:paraId="522403AB" w14:textId="579CCD45" w:rsidR="00E440FE" w:rsidRPr="00CE1BE2" w:rsidRDefault="00C319EC" w:rsidP="00E440FE">
            <w:pPr>
              <w:pStyle w:val="TAL"/>
            </w:pPr>
            <w:r>
              <w:t>Q1-2016</w:t>
            </w:r>
          </w:p>
        </w:tc>
        <w:tc>
          <w:tcPr>
            <w:tcW w:w="3769" w:type="dxa"/>
            <w:shd w:val="clear" w:color="auto" w:fill="auto"/>
            <w:vAlign w:val="center"/>
          </w:tcPr>
          <w:p w14:paraId="4AAD9502" w14:textId="77777777" w:rsidR="00E440FE" w:rsidRPr="00CE1BE2" w:rsidRDefault="00E440FE" w:rsidP="00E440FE">
            <w:pPr>
              <w:pStyle w:val="TAL"/>
            </w:pPr>
          </w:p>
        </w:tc>
      </w:tr>
      <w:tr w:rsidR="00E440FE" w:rsidRPr="00CE1BE2" w14:paraId="7DB577F3" w14:textId="77777777" w:rsidTr="00C319EC">
        <w:trPr>
          <w:jc w:val="center"/>
        </w:trPr>
        <w:tc>
          <w:tcPr>
            <w:tcW w:w="1396" w:type="dxa"/>
            <w:shd w:val="clear" w:color="auto" w:fill="auto"/>
            <w:vAlign w:val="center"/>
          </w:tcPr>
          <w:p w14:paraId="7B55658D" w14:textId="77777777" w:rsidR="00E440FE" w:rsidRPr="00CE1BE2" w:rsidRDefault="00E440FE" w:rsidP="00E440FE">
            <w:pPr>
              <w:pStyle w:val="TAL"/>
            </w:pPr>
            <w:r w:rsidRPr="00CE1BE2">
              <w:t>P.R</w:t>
            </w:r>
          </w:p>
        </w:tc>
        <w:tc>
          <w:tcPr>
            <w:tcW w:w="3514" w:type="dxa"/>
            <w:shd w:val="clear" w:color="auto" w:fill="auto"/>
            <w:vAlign w:val="center"/>
          </w:tcPr>
          <w:p w14:paraId="1625CE28" w14:textId="77777777" w:rsidR="00E440FE" w:rsidRPr="00CE1BE2" w:rsidRDefault="00E440FE" w:rsidP="00E440FE">
            <w:pPr>
              <w:pStyle w:val="TAL"/>
            </w:pPr>
            <w:r w:rsidRPr="00CE1BE2">
              <w:t>PoC Report</w:t>
            </w:r>
          </w:p>
        </w:tc>
        <w:tc>
          <w:tcPr>
            <w:tcW w:w="1181" w:type="dxa"/>
            <w:shd w:val="clear" w:color="auto" w:fill="auto"/>
            <w:vAlign w:val="center"/>
          </w:tcPr>
          <w:p w14:paraId="436298CB" w14:textId="77777777" w:rsidR="00E440FE" w:rsidRPr="00CE1BE2" w:rsidRDefault="00E440FE" w:rsidP="00E440FE">
            <w:pPr>
              <w:pStyle w:val="TAL"/>
            </w:pPr>
            <w:r>
              <w:t>Q1-2016</w:t>
            </w:r>
          </w:p>
        </w:tc>
        <w:tc>
          <w:tcPr>
            <w:tcW w:w="3769" w:type="dxa"/>
            <w:shd w:val="clear" w:color="auto" w:fill="auto"/>
            <w:vAlign w:val="center"/>
          </w:tcPr>
          <w:p w14:paraId="388C696E" w14:textId="77777777" w:rsidR="00E440FE" w:rsidRPr="00CE1BE2" w:rsidRDefault="00E440FE" w:rsidP="00E440FE">
            <w:pPr>
              <w:pStyle w:val="TAL"/>
            </w:pPr>
          </w:p>
        </w:tc>
      </w:tr>
      <w:tr w:rsidR="00E440FE" w:rsidRPr="00CE1BE2" w14:paraId="49B54258" w14:textId="77777777" w:rsidTr="00C319EC">
        <w:trPr>
          <w:jc w:val="center"/>
        </w:trPr>
        <w:tc>
          <w:tcPr>
            <w:tcW w:w="1396" w:type="dxa"/>
            <w:shd w:val="clear" w:color="auto" w:fill="auto"/>
            <w:vAlign w:val="center"/>
          </w:tcPr>
          <w:p w14:paraId="35C7A10F" w14:textId="77777777" w:rsidR="00E440FE" w:rsidRPr="00CE1BE2" w:rsidRDefault="00E440FE" w:rsidP="00E440FE">
            <w:pPr>
              <w:pStyle w:val="TAL"/>
            </w:pPr>
            <w:r w:rsidRPr="00CE1BE2">
              <w:t>P.E</w:t>
            </w:r>
          </w:p>
        </w:tc>
        <w:tc>
          <w:tcPr>
            <w:tcW w:w="3514" w:type="dxa"/>
            <w:shd w:val="clear" w:color="auto" w:fill="auto"/>
            <w:vAlign w:val="center"/>
          </w:tcPr>
          <w:p w14:paraId="467A98FC" w14:textId="77777777" w:rsidR="00E440FE" w:rsidRPr="00CE1BE2" w:rsidRDefault="00E440FE" w:rsidP="00E440FE">
            <w:pPr>
              <w:pStyle w:val="TAL"/>
            </w:pPr>
            <w:r w:rsidRPr="00CE1BE2">
              <w:t>PoC Project End</w:t>
            </w:r>
          </w:p>
        </w:tc>
        <w:tc>
          <w:tcPr>
            <w:tcW w:w="1181" w:type="dxa"/>
            <w:shd w:val="clear" w:color="auto" w:fill="auto"/>
            <w:vAlign w:val="center"/>
          </w:tcPr>
          <w:p w14:paraId="684BE1E6" w14:textId="77777777" w:rsidR="00E440FE" w:rsidRPr="00CE1BE2" w:rsidRDefault="00E440FE" w:rsidP="00E440FE">
            <w:pPr>
              <w:pStyle w:val="TAL"/>
            </w:pPr>
            <w:r>
              <w:t>Q1-2016</w:t>
            </w:r>
          </w:p>
        </w:tc>
        <w:tc>
          <w:tcPr>
            <w:tcW w:w="3769" w:type="dxa"/>
            <w:shd w:val="clear" w:color="auto" w:fill="auto"/>
            <w:vAlign w:val="center"/>
          </w:tcPr>
          <w:p w14:paraId="4226130A" w14:textId="77777777" w:rsidR="00E440FE" w:rsidRPr="00CE1BE2" w:rsidRDefault="00E440FE" w:rsidP="00E440FE">
            <w:pPr>
              <w:pStyle w:val="TAL"/>
            </w:pPr>
          </w:p>
        </w:tc>
      </w:tr>
    </w:tbl>
    <w:p w14:paraId="49BF1065" w14:textId="77777777" w:rsidR="00E440FE" w:rsidRPr="00CE1BE2" w:rsidRDefault="00E440FE" w:rsidP="00E440FE"/>
    <w:p w14:paraId="41E4D825" w14:textId="77777777" w:rsidR="00E440FE" w:rsidRPr="00CE1BE2" w:rsidRDefault="00E440FE" w:rsidP="00E440FE">
      <w:r w:rsidRPr="00CE1BE2">
        <w:t>NOTE:</w:t>
      </w:r>
      <w:r w:rsidRPr="00CE1BE2">
        <w:tab/>
        <w:t>Milestones need to be entered in chronological order.</w:t>
      </w:r>
    </w:p>
    <w:p w14:paraId="0344DB09" w14:textId="77777777" w:rsidR="00E440FE" w:rsidRDefault="00E440FE" w:rsidP="00E440FE">
      <w:pPr>
        <w:pStyle w:val="Heading2"/>
      </w:pPr>
      <w:bookmarkStart w:id="28" w:name="_Toc414543497"/>
      <w:bookmarkStart w:id="29" w:name="_Toc414607465"/>
      <w:bookmarkStart w:id="30" w:name="_Toc414607525"/>
      <w:r w:rsidRPr="00CE1BE2">
        <w:t>1.5</w:t>
      </w:r>
      <w:r w:rsidRPr="00CE1BE2">
        <w:tab/>
        <w:t>Additional Details</w:t>
      </w:r>
      <w:bookmarkStart w:id="31" w:name="_GoBack"/>
      <w:bookmarkEnd w:id="28"/>
      <w:bookmarkEnd w:id="29"/>
      <w:bookmarkEnd w:id="30"/>
      <w:bookmarkEnd w:id="31"/>
    </w:p>
    <w:p w14:paraId="0393A8B6" w14:textId="77777777" w:rsidR="001968CF" w:rsidRDefault="001968CF"/>
    <w:p w14:paraId="52BC09B0" w14:textId="3F8C5F2C" w:rsidR="00E440FE" w:rsidRPr="00CE1BE2" w:rsidRDefault="00E440FE" w:rsidP="00E440FE">
      <w:pPr>
        <w:pStyle w:val="Heading1"/>
      </w:pPr>
      <w:bookmarkStart w:id="32" w:name="_Toc414543498"/>
      <w:bookmarkStart w:id="33" w:name="_Toc414607466"/>
      <w:bookmarkStart w:id="34" w:name="_Toc414607526"/>
      <w:r w:rsidRPr="00CE1BE2">
        <w:t>2</w:t>
      </w:r>
      <w:r w:rsidRPr="00CE1BE2">
        <w:tab/>
        <w:t>PoC Technical Details</w:t>
      </w:r>
      <w:bookmarkEnd w:id="32"/>
      <w:bookmarkEnd w:id="33"/>
      <w:bookmarkEnd w:id="34"/>
    </w:p>
    <w:p w14:paraId="12CC7EEC" w14:textId="7ED823EA" w:rsidR="00E440FE" w:rsidRPr="00CE1BE2" w:rsidRDefault="00E440FE" w:rsidP="00E440FE">
      <w:pPr>
        <w:pStyle w:val="Heading2"/>
      </w:pPr>
      <w:bookmarkStart w:id="35" w:name="_Toc414543499"/>
      <w:bookmarkStart w:id="36" w:name="_Toc414607467"/>
      <w:bookmarkStart w:id="37" w:name="_Toc414607527"/>
      <w:r w:rsidRPr="00CE1BE2">
        <w:t>2.1</w:t>
      </w:r>
      <w:r w:rsidRPr="00CE1BE2">
        <w:tab/>
        <w:t>PoC Overview</w:t>
      </w:r>
      <w:bookmarkEnd w:id="35"/>
      <w:bookmarkEnd w:id="36"/>
      <w:bookmarkEnd w:id="37"/>
    </w:p>
    <w:p w14:paraId="4A2DCDB2" w14:textId="77777777" w:rsidR="00A94238" w:rsidRDefault="00D16CEC" w:rsidP="00E440FE">
      <w:bookmarkStart w:id="38" w:name="_Toc414543500"/>
      <w:bookmarkStart w:id="39" w:name="_Toc414607468"/>
      <w:bookmarkStart w:id="40" w:name="_Toc414607528"/>
      <w:r>
        <w:t>S</w:t>
      </w:r>
      <w:r w:rsidR="00703FAA">
        <w:t>tadium</w:t>
      </w:r>
      <w:r>
        <w:t xml:space="preserve">s </w:t>
      </w:r>
      <w:r w:rsidR="00703FAA">
        <w:t>a</w:t>
      </w:r>
      <w:r>
        <w:t>re</w:t>
      </w:r>
      <w:r w:rsidR="00703FAA">
        <w:t xml:space="preserve"> </w:t>
      </w:r>
      <w:r w:rsidR="00A32DE7">
        <w:t>stage</w:t>
      </w:r>
      <w:r>
        <w:t>s</w:t>
      </w:r>
      <w:r w:rsidR="00A32DE7">
        <w:t xml:space="preserve"> for </w:t>
      </w:r>
      <w:r w:rsidR="00703FAA">
        <w:t xml:space="preserve">operators to showcase </w:t>
      </w:r>
      <w:r w:rsidR="00A94238">
        <w:t xml:space="preserve">network performance and </w:t>
      </w:r>
      <w:r w:rsidR="00703FAA">
        <w:t xml:space="preserve">latest </w:t>
      </w:r>
      <w:r w:rsidR="00A32DE7">
        <w:t>mobile services</w:t>
      </w:r>
      <w:r w:rsidR="00703FAA">
        <w:t xml:space="preserve">. </w:t>
      </w:r>
      <w:r w:rsidR="00A94238">
        <w:t>S</w:t>
      </w:r>
      <w:r w:rsidR="00703FAA">
        <w:t>tadium owner</w:t>
      </w:r>
      <w:r w:rsidR="00A94238">
        <w:t>s</w:t>
      </w:r>
      <w:r w:rsidR="00703FAA">
        <w:t xml:space="preserve"> (or </w:t>
      </w:r>
      <w:r w:rsidR="00A94238">
        <w:t xml:space="preserve">local sport </w:t>
      </w:r>
      <w:r w:rsidR="00703FAA">
        <w:t>club</w:t>
      </w:r>
      <w:r w:rsidR="00A94238">
        <w:t>s</w:t>
      </w:r>
      <w:r w:rsidR="00703FAA">
        <w:t xml:space="preserve"> as</w:t>
      </w:r>
      <w:r w:rsidR="00A94238">
        <w:t xml:space="preserve"> </w:t>
      </w:r>
      <w:r w:rsidR="00703FAA">
        <w:t>tenant</w:t>
      </w:r>
      <w:r w:rsidR="00A94238">
        <w:t>s</w:t>
      </w:r>
      <w:r w:rsidR="00703FAA">
        <w:t>) ha</w:t>
      </w:r>
      <w:r w:rsidR="00A94238">
        <w:t>ve</w:t>
      </w:r>
      <w:r w:rsidR="00703FAA">
        <w:t xml:space="preserve"> a strong interest in making the visitor’s experience as pleasant as possible, and drive revenues beyond ticket sales.</w:t>
      </w:r>
    </w:p>
    <w:p w14:paraId="5A38F4B6" w14:textId="77777777" w:rsidR="00A94238" w:rsidRDefault="00A94238" w:rsidP="00E440FE"/>
    <w:p w14:paraId="5610DC28" w14:textId="77777777" w:rsidR="00703FAA" w:rsidRDefault="00703FAA" w:rsidP="00E440FE">
      <w:r>
        <w:t xml:space="preserve">Being able to receive live feeds from cameras mounted close to the playing field (e.g. behind the goals), replays, and additional player context </w:t>
      </w:r>
      <w:r w:rsidR="00EB49BB">
        <w:t xml:space="preserve">on mobile devices </w:t>
      </w:r>
      <w:r>
        <w:t xml:space="preserve">is a strong use case </w:t>
      </w:r>
      <w:r w:rsidR="00EB49BB">
        <w:t xml:space="preserve">for both operators and stadium owners. Practical experience shows, however, that </w:t>
      </w:r>
      <w:r w:rsidR="00A94238">
        <w:t xml:space="preserve">even LTE networks deliver </w:t>
      </w:r>
      <w:r w:rsidR="00EB49BB">
        <w:t>such content</w:t>
      </w:r>
      <w:r w:rsidR="00A94238">
        <w:t xml:space="preserve"> with seconds rather than milliseconds of delay, and considerable strain is put on the backhaul network. By </w:t>
      </w:r>
      <w:r w:rsidR="00EB49BB">
        <w:t>deploying an MEC server these challenges can be addressed</w:t>
      </w:r>
      <w:r w:rsidR="00A94238">
        <w:t xml:space="preserve">, </w:t>
      </w:r>
      <w:r w:rsidR="00EB49BB">
        <w:t>as will be proven with the means of the Edge Video Orchestration PoC deployed in Wembley Stadium, London, UK.</w:t>
      </w:r>
    </w:p>
    <w:p w14:paraId="5FDAD5E7" w14:textId="77777777" w:rsidR="00161FA1" w:rsidRDefault="00161FA1" w:rsidP="00E440FE"/>
    <w:p w14:paraId="694CE3EB" w14:textId="77777777" w:rsidR="00A36B3F" w:rsidRDefault="00161FA1" w:rsidP="00E440FE">
      <w:r>
        <w:t>The Edge Video Orchestration application running on the MEC server creates a point for real time content to be injected to the local LTE network at the venue. Furthermore, the application provides the logic for distributing the live video feeds received from the local production room to local spectators, in a high</w:t>
      </w:r>
      <w:r w:rsidR="00A36B3F">
        <w:t>ly</w:t>
      </w:r>
      <w:r>
        <w:t xml:space="preserve"> efficient manner.</w:t>
      </w:r>
      <w:r w:rsidR="00D30669">
        <w:t xml:space="preserve"> </w:t>
      </w:r>
      <w:r w:rsidR="00165B96">
        <w:t>E</w:t>
      </w:r>
      <w:r w:rsidR="00A32DE7">
        <w:t>nd users are able to dynamically select between different streams offered, whereby previews are displayed with a low screen resolution, and the main view is displayed with the highest resolution possible.</w:t>
      </w:r>
      <w:r w:rsidR="00A36B3F">
        <w:t xml:space="preserve"> Compared with available cloud based solutions MEC delivers the following benefits:</w:t>
      </w:r>
    </w:p>
    <w:p w14:paraId="45D0A8E1" w14:textId="77777777" w:rsidR="00A36B3F" w:rsidRDefault="00A36B3F" w:rsidP="00A36B3F">
      <w:pPr>
        <w:pStyle w:val="ListParagraph"/>
        <w:numPr>
          <w:ilvl w:val="0"/>
          <w:numId w:val="18"/>
        </w:numPr>
      </w:pPr>
      <w:r>
        <w:t>Latency: live feeds viewed on the LTE device are in sync with wha</w:t>
      </w:r>
      <w:r w:rsidR="00D16CEC">
        <w:t>t the stadium visitor sees directly, that is, the difference is smaller than what the human eye can realize. Such low latency is not only achieved by shortening the data transmission path, but by optimizing the complete chain (incl. encoders, production, streaming) from the cameras to the device.</w:t>
      </w:r>
    </w:p>
    <w:p w14:paraId="70EB98E6" w14:textId="77777777" w:rsidR="00D16CEC" w:rsidRDefault="00D16CEC" w:rsidP="00A36B3F">
      <w:pPr>
        <w:pStyle w:val="ListParagraph"/>
        <w:numPr>
          <w:ilvl w:val="0"/>
          <w:numId w:val="18"/>
        </w:numPr>
      </w:pPr>
      <w:r>
        <w:t>Backhaul capacity: playing out the live feeds and replays out locally puts no additional strain on the backhaul network and upstream core network components, such as, S/PGW, load balancers, optimizers, firewalls, etc.</w:t>
      </w:r>
    </w:p>
    <w:p w14:paraId="1955B59B" w14:textId="77777777" w:rsidR="00D16CEC" w:rsidRDefault="00D16CEC" w:rsidP="00A36B3F">
      <w:pPr>
        <w:pStyle w:val="ListParagraph"/>
        <w:numPr>
          <w:ilvl w:val="0"/>
          <w:numId w:val="18"/>
        </w:numPr>
      </w:pPr>
      <w:r>
        <w:t xml:space="preserve">Content rights: as traffic is kept entirely local by the physical solution design content distribution rights can be </w:t>
      </w:r>
      <w:r w:rsidR="00A94238">
        <w:t>arranged</w:t>
      </w:r>
      <w:r>
        <w:t xml:space="preserve"> more easily.</w:t>
      </w:r>
    </w:p>
    <w:p w14:paraId="0824AD24" w14:textId="77777777" w:rsidR="00D16CEC" w:rsidRDefault="00D16CEC" w:rsidP="00A36B3F">
      <w:pPr>
        <w:pStyle w:val="ListParagraph"/>
        <w:numPr>
          <w:ilvl w:val="0"/>
          <w:numId w:val="18"/>
        </w:numPr>
      </w:pPr>
      <w:r>
        <w:t>Real time context: aside of camera angles also other event context can be provided in real time, such as, player positions viewed from straight above, player speeds, etc. Also audio (“ref mike”) could be included. This, however, is outside the scope of the proposed PoC.</w:t>
      </w:r>
    </w:p>
    <w:p w14:paraId="0212E98A" w14:textId="77777777" w:rsidR="00A36B3F" w:rsidRDefault="00A36B3F" w:rsidP="00E440FE"/>
    <w:p w14:paraId="2A961419" w14:textId="77777777" w:rsidR="00670502" w:rsidRDefault="00670502" w:rsidP="00E440FE">
      <w:r>
        <w:t xml:space="preserve">As most LTE devices do not support eMBMS yet the proposed PoC implements unicast streaming, which would saturate the available LTE air interface capacity once stadium visitors start using </w:t>
      </w:r>
      <w:r w:rsidR="00BE62BD">
        <w:t xml:space="preserve">the Edge Video Orchestration application </w:t>
      </w:r>
      <w:r>
        <w:t xml:space="preserve">on a grand scale. </w:t>
      </w:r>
      <w:r w:rsidR="00BE62BD">
        <w:t>The addition of eMBMS, implemented by the means of eMBMS core network components running on the MEC server, is therefore being considered for a subsequent PoC.</w:t>
      </w:r>
    </w:p>
    <w:p w14:paraId="0818EB62" w14:textId="77777777" w:rsidR="002956E5" w:rsidRDefault="002956E5" w:rsidP="00E440FE"/>
    <w:p w14:paraId="3F0AC42D" w14:textId="3E02BB0F" w:rsidR="002956E5" w:rsidRDefault="002956E5" w:rsidP="00E440FE">
      <w:r>
        <w:t>The PoC will use real LTE terminals. Nokia Networks will upgrade Everything Everywhere’s network around the stadium with MEC capabilities to provide the service.</w:t>
      </w:r>
    </w:p>
    <w:p w14:paraId="6165A76C" w14:textId="77777777" w:rsidR="00B52670" w:rsidRDefault="00B52670" w:rsidP="00E440FE"/>
    <w:p w14:paraId="5A8DC911" w14:textId="77777777" w:rsidR="00D16CEC" w:rsidRDefault="00D16CEC" w:rsidP="00E440FE"/>
    <w:p w14:paraId="0C6774AF" w14:textId="77777777" w:rsidR="00EB49BB" w:rsidRDefault="00BB7EAD" w:rsidP="00E440FE">
      <w:r>
        <w:rPr>
          <w:noProof/>
          <w:lang w:val="en-US"/>
        </w:rPr>
        <w:drawing>
          <wp:inline distT="0" distB="0" distL="0" distR="0" wp14:anchorId="3C661FBE" wp14:editId="34DC97A9">
            <wp:extent cx="6120130" cy="3442335"/>
            <wp:effectExtent l="19050" t="0" r="0" b="0"/>
            <wp:docPr id="2" name="Picture 1" descr="LA EVO eMB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EVO eMBMS.png"/>
                    <pic:cNvPicPr/>
                  </pic:nvPicPr>
                  <pic:blipFill>
                    <a:blip r:embed="rId12" cstate="print"/>
                    <a:stretch>
                      <a:fillRect/>
                    </a:stretch>
                  </pic:blipFill>
                  <pic:spPr>
                    <a:xfrm>
                      <a:off x="0" y="0"/>
                      <a:ext cx="6120130" cy="3442335"/>
                    </a:xfrm>
                    <a:prstGeom prst="rect">
                      <a:avLst/>
                    </a:prstGeom>
                  </pic:spPr>
                </pic:pic>
              </a:graphicData>
            </a:graphic>
          </wp:inline>
        </w:drawing>
      </w:r>
    </w:p>
    <w:p w14:paraId="77F41970" w14:textId="77777777" w:rsidR="00E440FE" w:rsidRPr="00AD2306" w:rsidRDefault="00E440FE" w:rsidP="00E440FE">
      <w:pPr>
        <w:rPr>
          <w:lang w:val="en-US"/>
        </w:rPr>
      </w:pPr>
    </w:p>
    <w:p w14:paraId="6A80E2E8" w14:textId="479B140D" w:rsidR="00E440FE" w:rsidRDefault="00E440FE" w:rsidP="00E440FE">
      <w:pPr>
        <w:pStyle w:val="Heading2"/>
      </w:pPr>
      <w:r w:rsidRPr="00CE1BE2">
        <w:t>2.2</w:t>
      </w:r>
      <w:r w:rsidRPr="00CE1BE2">
        <w:tab/>
        <w:t>PoC Architecture</w:t>
      </w:r>
      <w:bookmarkEnd w:id="38"/>
      <w:bookmarkEnd w:id="39"/>
      <w:bookmarkEnd w:id="40"/>
    </w:p>
    <w:p w14:paraId="6D8DDCFC" w14:textId="77777777" w:rsidR="00D021DD" w:rsidRDefault="001A7E76" w:rsidP="00E440FE">
      <w:r>
        <w:t>This PoC consists of an eNodeB, MEC Server, EPC, several professional TV cameras (with high-speed encoders), a clip replay solution, and end user devices running an app for viewing the live and replay contents.</w:t>
      </w:r>
    </w:p>
    <w:p w14:paraId="76638F4D" w14:textId="77777777" w:rsidR="00165B96" w:rsidRDefault="00165B96" w:rsidP="00E440FE"/>
    <w:p w14:paraId="647D8291" w14:textId="77777777" w:rsidR="00165B96" w:rsidRDefault="00165B96" w:rsidP="00165B96">
      <w:r>
        <w:t>On the production side the raw camera HDSDI signals are fed to encoders and then connected into the MEC Server. In parallel the signals are fed into the replay solution. On the distribution side the app running on the LTE device is used for accessing both the live and the replay content, with users being able to select dynamically. All media is played out locally.</w:t>
      </w:r>
    </w:p>
    <w:p w14:paraId="3E06EFC9" w14:textId="77777777" w:rsidR="00E440FE" w:rsidRDefault="00E440FE" w:rsidP="00E440FE"/>
    <w:p w14:paraId="2B29B635" w14:textId="77777777" w:rsidR="001968CF" w:rsidRDefault="00165B96">
      <w:pPr>
        <w:jc w:val="center"/>
      </w:pPr>
      <w:r>
        <w:rPr>
          <w:noProof/>
          <w:lang w:val="en-US"/>
        </w:rPr>
        <w:drawing>
          <wp:inline distT="0" distB="0" distL="0" distR="0" wp14:anchorId="0DB30DDB" wp14:editId="29274DC5">
            <wp:extent cx="3945362" cy="2520000"/>
            <wp:effectExtent l="19050" t="0" r="0" b="0"/>
            <wp:docPr id="4" name="Picture 1" descr="C:\Users\lindemei\AppData\Local\Microsoft\Windows\Temporary Internet Files\Content.Outlook\S97UG7C0\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emei\AppData\Local\Microsoft\Windows\Temporary Internet Files\Content.Outlook\S97UG7C0\New Picture (1).png"/>
                    <pic:cNvPicPr>
                      <a:picLocks noChangeAspect="1" noChangeArrowheads="1"/>
                    </pic:cNvPicPr>
                  </pic:nvPicPr>
                  <pic:blipFill>
                    <a:blip r:embed="rId13" cstate="print"/>
                    <a:srcRect/>
                    <a:stretch>
                      <a:fillRect/>
                    </a:stretch>
                  </pic:blipFill>
                  <pic:spPr bwMode="auto">
                    <a:xfrm>
                      <a:off x="0" y="0"/>
                      <a:ext cx="3945362" cy="2520000"/>
                    </a:xfrm>
                    <a:prstGeom prst="rect">
                      <a:avLst/>
                    </a:prstGeom>
                    <a:noFill/>
                    <a:ln w="9525">
                      <a:noFill/>
                      <a:miter lim="800000"/>
                      <a:headEnd/>
                      <a:tailEnd/>
                    </a:ln>
                  </pic:spPr>
                </pic:pic>
              </a:graphicData>
            </a:graphic>
          </wp:inline>
        </w:drawing>
      </w:r>
    </w:p>
    <w:p w14:paraId="7A3FCDF7" w14:textId="77777777" w:rsidR="00451F48" w:rsidRPr="00CE1BE2" w:rsidRDefault="00451F48" w:rsidP="00E440FE"/>
    <w:p w14:paraId="7CCD7E34" w14:textId="4ECBF5DB" w:rsidR="00E440FE" w:rsidRPr="00CE1BE2" w:rsidRDefault="00E440FE" w:rsidP="00E440FE">
      <w:pPr>
        <w:pStyle w:val="Heading2"/>
      </w:pPr>
      <w:bookmarkStart w:id="41" w:name="_Toc414543501"/>
      <w:bookmarkStart w:id="42" w:name="_Toc414607469"/>
      <w:bookmarkStart w:id="43" w:name="_Toc414607529"/>
      <w:r w:rsidRPr="00CE1BE2">
        <w:t>2.3</w:t>
      </w:r>
      <w:r w:rsidRPr="00CE1BE2">
        <w:tab/>
        <w:t>Additional information</w:t>
      </w:r>
      <w:bookmarkEnd w:id="41"/>
      <w:bookmarkEnd w:id="42"/>
      <w:bookmarkEnd w:id="43"/>
    </w:p>
    <w:p w14:paraId="726F8C4B" w14:textId="77777777" w:rsidR="00E440FE" w:rsidRDefault="00E440FE" w:rsidP="00E440FE"/>
    <w:sectPr w:rsidR="00E440FE" w:rsidSect="00E24490">
      <w:headerReference w:type="default" r:id="rId14"/>
      <w:footerReference w:type="default" r:id="rId15"/>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70AE9" w14:textId="77777777" w:rsidR="00C5512B" w:rsidRDefault="00C5512B" w:rsidP="00D9435B">
      <w:r>
        <w:separator/>
      </w:r>
    </w:p>
  </w:endnote>
  <w:endnote w:type="continuationSeparator" w:id="0">
    <w:p w14:paraId="625128F7" w14:textId="77777777" w:rsidR="00C5512B" w:rsidRDefault="00C5512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C71E7" w14:textId="77777777" w:rsidR="008D5477" w:rsidRPr="0083399D" w:rsidRDefault="008D5477" w:rsidP="0083399D">
    <w:pPr>
      <w:tabs>
        <w:tab w:val="center" w:pos="4536"/>
      </w:tabs>
      <w:rPr>
        <w:rFonts w:ascii="Arial" w:hAnsi="Arial" w:cs="Arial"/>
      </w:rPr>
    </w:pPr>
    <w:r>
      <w:tab/>
    </w:r>
    <w:r w:rsidR="001968CF" w:rsidRPr="0083399D">
      <w:rPr>
        <w:rFonts w:ascii="Arial" w:hAnsi="Arial" w:cs="Arial"/>
      </w:rPr>
      <w:fldChar w:fldCharType="begin"/>
    </w:r>
    <w:r w:rsidRPr="0083399D">
      <w:rPr>
        <w:rFonts w:ascii="Arial" w:hAnsi="Arial" w:cs="Arial"/>
      </w:rPr>
      <w:instrText xml:space="preserve"> PAGE   \* MERGEFORMAT </w:instrText>
    </w:r>
    <w:r w:rsidR="001968CF" w:rsidRPr="0083399D">
      <w:rPr>
        <w:rFonts w:ascii="Arial" w:hAnsi="Arial" w:cs="Arial"/>
      </w:rPr>
      <w:fldChar w:fldCharType="separate"/>
    </w:r>
    <w:r w:rsidR="002463B4">
      <w:rPr>
        <w:rFonts w:ascii="Arial" w:hAnsi="Arial" w:cs="Arial"/>
        <w:noProof/>
      </w:rPr>
      <w:t>2</w:t>
    </w:r>
    <w:r w:rsidR="001968CF" w:rsidRPr="0083399D">
      <w:rPr>
        <w:rFonts w:ascii="Arial" w:hAnsi="Arial" w:cs="Arial"/>
      </w:rPr>
      <w:fldChar w:fldCharType="end"/>
    </w:r>
    <w:r w:rsidRPr="0083399D">
      <w:rPr>
        <w:rFonts w:ascii="Arial" w:hAnsi="Arial" w:cs="Arial"/>
      </w:rPr>
      <w:t>/</w:t>
    </w:r>
    <w:fldSimple w:instr=" NUMPAGES   \* MERGEFORMAT ">
      <w:r w:rsidR="002463B4" w:rsidRPr="002463B4">
        <w:rPr>
          <w:rFonts w:ascii="Arial" w:hAnsi="Arial" w:cs="Arial"/>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311C" w14:textId="77777777" w:rsidR="00C5512B" w:rsidRDefault="00C5512B" w:rsidP="00D9435B">
      <w:r>
        <w:separator/>
      </w:r>
    </w:p>
  </w:footnote>
  <w:footnote w:type="continuationSeparator" w:id="0">
    <w:p w14:paraId="49834640" w14:textId="77777777" w:rsidR="00C5512B" w:rsidRDefault="00C5512B"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0109" w14:textId="00728736"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41FDD818" wp14:editId="4257DAAC">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MECIEG(15)</w:t>
    </w:r>
    <w:r w:rsidR="003C6F46">
      <w:rPr>
        <w:rFonts w:ascii="Arial" w:hAnsi="Arial" w:cs="Arial"/>
        <w:b/>
        <w:sz w:val="36"/>
        <w:szCs w:val="36"/>
        <w:shd w:val="clear" w:color="auto" w:fill="DBE5F1"/>
      </w:rPr>
      <w:t>000049</w:t>
    </w:r>
    <w:r w:rsidR="005662C7">
      <w:rPr>
        <w:rFonts w:ascii="Arial" w:hAnsi="Arial" w:cs="Arial"/>
        <w:b/>
        <w:sz w:val="36"/>
        <w:szCs w:val="36"/>
        <w:shd w:val="clear" w:color="auto" w:fill="DBE5F1"/>
      </w:rPr>
      <w:t>r1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36D52D1"/>
    <w:multiLevelType w:val="hybridMultilevel"/>
    <w:tmpl w:val="E51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03D"/>
    <w:rsid w:val="0000428F"/>
    <w:rsid w:val="0002568A"/>
    <w:rsid w:val="0007043C"/>
    <w:rsid w:val="00082894"/>
    <w:rsid w:val="00095671"/>
    <w:rsid w:val="000A17B4"/>
    <w:rsid w:val="000A6B52"/>
    <w:rsid w:val="000C4CB6"/>
    <w:rsid w:val="000D6867"/>
    <w:rsid w:val="00120561"/>
    <w:rsid w:val="0013327F"/>
    <w:rsid w:val="00161FA1"/>
    <w:rsid w:val="00165B96"/>
    <w:rsid w:val="001727B7"/>
    <w:rsid w:val="00181471"/>
    <w:rsid w:val="00191D22"/>
    <w:rsid w:val="001968CF"/>
    <w:rsid w:val="001A53BB"/>
    <w:rsid w:val="001A7E76"/>
    <w:rsid w:val="001B09AD"/>
    <w:rsid w:val="001C42E5"/>
    <w:rsid w:val="001D62B3"/>
    <w:rsid w:val="001E15D8"/>
    <w:rsid w:val="002001AF"/>
    <w:rsid w:val="00205C5D"/>
    <w:rsid w:val="00205CF2"/>
    <w:rsid w:val="0020736E"/>
    <w:rsid w:val="002200F3"/>
    <w:rsid w:val="002463B4"/>
    <w:rsid w:val="002676F5"/>
    <w:rsid w:val="002808EE"/>
    <w:rsid w:val="002956E5"/>
    <w:rsid w:val="002A3728"/>
    <w:rsid w:val="002A474B"/>
    <w:rsid w:val="002C4815"/>
    <w:rsid w:val="002D2E6B"/>
    <w:rsid w:val="002F1FCD"/>
    <w:rsid w:val="002F5958"/>
    <w:rsid w:val="00316217"/>
    <w:rsid w:val="00357140"/>
    <w:rsid w:val="00372372"/>
    <w:rsid w:val="00380E33"/>
    <w:rsid w:val="003B5323"/>
    <w:rsid w:val="003C6F46"/>
    <w:rsid w:val="003D5716"/>
    <w:rsid w:val="003E0F21"/>
    <w:rsid w:val="003E1578"/>
    <w:rsid w:val="003E587D"/>
    <w:rsid w:val="004124A2"/>
    <w:rsid w:val="00422891"/>
    <w:rsid w:val="00433CA6"/>
    <w:rsid w:val="004375B5"/>
    <w:rsid w:val="00450E1D"/>
    <w:rsid w:val="00451055"/>
    <w:rsid w:val="00451F48"/>
    <w:rsid w:val="00465400"/>
    <w:rsid w:val="004A50AB"/>
    <w:rsid w:val="004B47DF"/>
    <w:rsid w:val="004D1743"/>
    <w:rsid w:val="00516885"/>
    <w:rsid w:val="005208F8"/>
    <w:rsid w:val="0053638D"/>
    <w:rsid w:val="00551F4D"/>
    <w:rsid w:val="005662C7"/>
    <w:rsid w:val="00571482"/>
    <w:rsid w:val="00592B7C"/>
    <w:rsid w:val="005B115B"/>
    <w:rsid w:val="005E0416"/>
    <w:rsid w:val="005E3A8F"/>
    <w:rsid w:val="005E4A8F"/>
    <w:rsid w:val="005F1E6A"/>
    <w:rsid w:val="006017EC"/>
    <w:rsid w:val="006133B5"/>
    <w:rsid w:val="00620AA5"/>
    <w:rsid w:val="00621FE6"/>
    <w:rsid w:val="00624E04"/>
    <w:rsid w:val="00627948"/>
    <w:rsid w:val="00631480"/>
    <w:rsid w:val="006661ED"/>
    <w:rsid w:val="00670502"/>
    <w:rsid w:val="00683AE1"/>
    <w:rsid w:val="006A4EB3"/>
    <w:rsid w:val="006B29AF"/>
    <w:rsid w:val="007017A1"/>
    <w:rsid w:val="00703FAA"/>
    <w:rsid w:val="00723463"/>
    <w:rsid w:val="007339F4"/>
    <w:rsid w:val="0074491A"/>
    <w:rsid w:val="00745E27"/>
    <w:rsid w:val="00776B64"/>
    <w:rsid w:val="007833A7"/>
    <w:rsid w:val="007A3763"/>
    <w:rsid w:val="007A6723"/>
    <w:rsid w:val="007B6346"/>
    <w:rsid w:val="007D03CA"/>
    <w:rsid w:val="007F1978"/>
    <w:rsid w:val="00801434"/>
    <w:rsid w:val="00832E39"/>
    <w:rsid w:val="0083399D"/>
    <w:rsid w:val="00850EFF"/>
    <w:rsid w:val="00861EF2"/>
    <w:rsid w:val="008745A4"/>
    <w:rsid w:val="00874B99"/>
    <w:rsid w:val="00877C83"/>
    <w:rsid w:val="00887234"/>
    <w:rsid w:val="00895EE0"/>
    <w:rsid w:val="008B51CE"/>
    <w:rsid w:val="008D5477"/>
    <w:rsid w:val="008F7EE0"/>
    <w:rsid w:val="0091037B"/>
    <w:rsid w:val="00912D71"/>
    <w:rsid w:val="00921D62"/>
    <w:rsid w:val="009506D9"/>
    <w:rsid w:val="00960BF0"/>
    <w:rsid w:val="00996DA5"/>
    <w:rsid w:val="009A4B22"/>
    <w:rsid w:val="009B2B3A"/>
    <w:rsid w:val="009D13B6"/>
    <w:rsid w:val="009D195B"/>
    <w:rsid w:val="00A02306"/>
    <w:rsid w:val="00A03935"/>
    <w:rsid w:val="00A104DB"/>
    <w:rsid w:val="00A32DE7"/>
    <w:rsid w:val="00A36B3F"/>
    <w:rsid w:val="00A52B10"/>
    <w:rsid w:val="00A53EDB"/>
    <w:rsid w:val="00A724FA"/>
    <w:rsid w:val="00A94238"/>
    <w:rsid w:val="00B179D6"/>
    <w:rsid w:val="00B22603"/>
    <w:rsid w:val="00B44A99"/>
    <w:rsid w:val="00B52670"/>
    <w:rsid w:val="00B60932"/>
    <w:rsid w:val="00B80A28"/>
    <w:rsid w:val="00B837B4"/>
    <w:rsid w:val="00BA5448"/>
    <w:rsid w:val="00BB65DC"/>
    <w:rsid w:val="00BB7EAD"/>
    <w:rsid w:val="00BC2F02"/>
    <w:rsid w:val="00BE62BD"/>
    <w:rsid w:val="00BE7AFE"/>
    <w:rsid w:val="00BF3939"/>
    <w:rsid w:val="00BF503A"/>
    <w:rsid w:val="00C319EC"/>
    <w:rsid w:val="00C5512B"/>
    <w:rsid w:val="00C74523"/>
    <w:rsid w:val="00CA0323"/>
    <w:rsid w:val="00CA135C"/>
    <w:rsid w:val="00CA6465"/>
    <w:rsid w:val="00CC07A5"/>
    <w:rsid w:val="00D021DD"/>
    <w:rsid w:val="00D11314"/>
    <w:rsid w:val="00D16CEC"/>
    <w:rsid w:val="00D22FCC"/>
    <w:rsid w:val="00D236E0"/>
    <w:rsid w:val="00D252DF"/>
    <w:rsid w:val="00D30669"/>
    <w:rsid w:val="00D56DA5"/>
    <w:rsid w:val="00D9435B"/>
    <w:rsid w:val="00DA7603"/>
    <w:rsid w:val="00DB251F"/>
    <w:rsid w:val="00DE0933"/>
    <w:rsid w:val="00DE500E"/>
    <w:rsid w:val="00E07887"/>
    <w:rsid w:val="00E24490"/>
    <w:rsid w:val="00E26C9A"/>
    <w:rsid w:val="00E440FE"/>
    <w:rsid w:val="00E85773"/>
    <w:rsid w:val="00EA4F2A"/>
    <w:rsid w:val="00EB13D0"/>
    <w:rsid w:val="00EB16B6"/>
    <w:rsid w:val="00EB49BB"/>
    <w:rsid w:val="00EE7092"/>
    <w:rsid w:val="00F11466"/>
    <w:rsid w:val="00F3029A"/>
    <w:rsid w:val="00F44FAD"/>
    <w:rsid w:val="00F54805"/>
    <w:rsid w:val="00F56E83"/>
    <w:rsid w:val="00F67417"/>
    <w:rsid w:val="00F9024E"/>
    <w:rsid w:val="00F9580C"/>
    <w:rsid w:val="00FB339C"/>
    <w:rsid w:val="00FB3B7C"/>
    <w:rsid w:val="00FF6B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1D69"/>
  <w15:docId w15:val="{CB3B04AD-D0A6-464C-9B25-14EEC23A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TALChar">
    <w:name w:val="TAL Char"/>
    <w:link w:val="TAL"/>
    <w:locked/>
    <w:rsid w:val="00E440FE"/>
    <w:rPr>
      <w:rFonts w:ascii="Arial" w:eastAsia="Times New Roman" w:hAnsi="Arial" w:cs="Times New Roman"/>
      <w:sz w:val="18"/>
      <w:szCs w:val="20"/>
    </w:rPr>
  </w:style>
  <w:style w:type="character" w:styleId="Hyperlink">
    <w:name w:val="Hyperlink"/>
    <w:uiPriority w:val="99"/>
    <w:unhideWhenUsed/>
    <w:rsid w:val="00E440FE"/>
    <w:rPr>
      <w:color w:val="0563C1"/>
      <w:u w:val="single"/>
    </w:rPr>
  </w:style>
  <w:style w:type="character" w:styleId="CommentReference">
    <w:name w:val="annotation reference"/>
    <w:basedOn w:val="DefaultParagraphFont"/>
    <w:uiPriority w:val="99"/>
    <w:semiHidden/>
    <w:unhideWhenUsed/>
    <w:rsid w:val="0000203D"/>
    <w:rPr>
      <w:sz w:val="16"/>
      <w:szCs w:val="16"/>
    </w:rPr>
  </w:style>
  <w:style w:type="paragraph" w:styleId="CommentText">
    <w:name w:val="annotation text"/>
    <w:basedOn w:val="Normal"/>
    <w:link w:val="CommentTextChar"/>
    <w:uiPriority w:val="99"/>
    <w:semiHidden/>
    <w:unhideWhenUsed/>
    <w:rsid w:val="0000203D"/>
  </w:style>
  <w:style w:type="character" w:customStyle="1" w:styleId="CommentTextChar">
    <w:name w:val="Comment Text Char"/>
    <w:basedOn w:val="DefaultParagraphFont"/>
    <w:link w:val="CommentText"/>
    <w:uiPriority w:val="99"/>
    <w:semiHidden/>
    <w:rsid w:val="00002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03D"/>
    <w:rPr>
      <w:b/>
      <w:bCs/>
    </w:rPr>
  </w:style>
  <w:style w:type="character" w:customStyle="1" w:styleId="CommentSubjectChar">
    <w:name w:val="Comment Subject Char"/>
    <w:basedOn w:val="CommentTextChar"/>
    <w:link w:val="CommentSubject"/>
    <w:uiPriority w:val="99"/>
    <w:semiHidden/>
    <w:rsid w:val="0000203D"/>
    <w:rPr>
      <w:rFonts w:ascii="Times New Roman" w:eastAsia="Times New Roman" w:hAnsi="Times New Roman" w:cs="Times New Roman"/>
      <w:b/>
      <w:bCs/>
      <w:sz w:val="20"/>
      <w:szCs w:val="20"/>
    </w:rPr>
  </w:style>
  <w:style w:type="paragraph" w:styleId="ListParagraph">
    <w:name w:val="List Paragraph"/>
    <w:basedOn w:val="Normal"/>
    <w:uiPriority w:val="34"/>
    <w:qFormat/>
    <w:rsid w:val="00A36B3F"/>
    <w:pPr>
      <w:ind w:left="720"/>
      <w:contextualSpacing/>
    </w:pPr>
  </w:style>
  <w:style w:type="character" w:styleId="FollowedHyperlink">
    <w:name w:val="FollowedHyperlink"/>
    <w:basedOn w:val="DefaultParagraphFont"/>
    <w:uiPriority w:val="99"/>
    <w:semiHidden/>
    <w:unhideWhenUsed/>
    <w:rsid w:val="00A7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lindemeier@nokia.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aus.nagora@smartmobilelab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t.stagg@ee.co.uk" TargetMode="External"/><Relationship Id="rId4" Type="http://schemas.openxmlformats.org/officeDocument/2006/relationships/settings" Target="settings.xml"/><Relationship Id="rId9" Type="http://schemas.openxmlformats.org/officeDocument/2006/relationships/hyperlink" Target="mailto:uwe.rauschenbach@nok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A4F5-0FDC-40B8-8957-AC11B052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Uwe Rauschenbach, Nokia Networks</cp:lastModifiedBy>
  <cp:revision>17</cp:revision>
  <cp:lastPrinted>2010-12-06T15:51:00Z</cp:lastPrinted>
  <dcterms:created xsi:type="dcterms:W3CDTF">2015-10-26T14:58:00Z</dcterms:created>
  <dcterms:modified xsi:type="dcterms:W3CDTF">2015-11-18T08:14:00Z</dcterms:modified>
</cp:coreProperties>
</file>