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 xml:space="preserve">POC: Healthcare – Dynamic Hospital User, </w:t>
            </w:r>
            <w:proofErr w:type="spellStart"/>
            <w:r>
              <w:rPr>
                <w:rFonts w:ascii="Arial" w:hAnsi="Arial" w:cs="Arial"/>
                <w:color w:val="0000FF"/>
                <w:sz w:val="24"/>
                <w:szCs w:val="24"/>
              </w:rPr>
              <w:t>IoT</w:t>
            </w:r>
            <w:proofErr w:type="spellEnd"/>
            <w:r>
              <w:rPr>
                <w:rFonts w:ascii="Arial" w:hAnsi="Arial" w:cs="Arial"/>
                <w:color w:val="0000FF"/>
                <w:sz w:val="24"/>
                <w:szCs w:val="24"/>
              </w:rPr>
              <w:t xml:space="preserve"> and Alert Status management</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Quortus Limited</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Paul Trubridge</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MEC IEG</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2016-06-30</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MECIEG#21</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r w:rsidR="00683AE1" w:rsidRPr="00422891">
              <w:rPr>
                <w:rFonts w:ascii="Arial" w:hAnsi="Arial" w:cs="Arial"/>
                <w:sz w:val="22"/>
                <w:szCs w:val="24"/>
              </w:rPr>
              <w:t>DGS/MEC-IEG004 ; DGS/MEC-IEG005</w:t>
            </w:r>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00DB251F" w:rsidRPr="007017A1">
        <w:rPr>
          <w:rFonts w:ascii="Arial" w:hAnsi="Arial" w:cs="Arial"/>
          <w:sz w:val="22"/>
          <w:szCs w:val="24"/>
        </w:rPr>
        <w:t>Please approve</w:t>
      </w:r>
      <w:bookmarkEnd w:id="11"/>
    </w:p>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2" w:name="Abstract"/>
      <w:r w:rsidR="00DB251F" w:rsidRPr="00422891">
        <w:rPr>
          <w:rFonts w:ascii="Arial" w:hAnsi="Arial" w:cs="Arial"/>
          <w:i/>
          <w:sz w:val="22"/>
          <w:szCs w:val="24"/>
        </w:rPr>
        <w:t>This POC considers a typical ‘Healthcare’ use-case where a Hospital is able to assign a cellular access hierarchy (using network slicing) and open access (at the edge) to local systems depending on managed access rights. It also demonstrates dynamic network slicing based on Hospital ‘alert’ status</w:t>
      </w:r>
      <w:bookmarkEnd w:id="12"/>
    </w:p>
    <w:p w:rsidR="007A3763" w:rsidRDefault="007A3763" w:rsidP="00E24490">
      <w:pPr>
        <w:rPr>
          <w:rFonts w:ascii="Arial" w:hAnsi="Arial" w:cs="Arial"/>
        </w:rPr>
      </w:pPr>
    </w:p>
    <w:p w:rsidR="00887234" w:rsidRDefault="00887234" w:rsidP="007833A7">
      <w:pPr>
        <w:rPr>
          <w:rFonts w:ascii="Arial" w:hAnsi="Arial" w:cs="Arial"/>
        </w:rPr>
      </w:pPr>
    </w:p>
    <w:p w:rsidR="00BB13A4" w:rsidRPr="00CE1BE2" w:rsidRDefault="00BB13A4" w:rsidP="00BB13A4">
      <w:pPr>
        <w:pStyle w:val="Heading8"/>
      </w:pPr>
      <w:r>
        <w:t>PoC Proposal</w:t>
      </w:r>
    </w:p>
    <w:p w:rsidR="00BB13A4" w:rsidRPr="00CE1BE2" w:rsidRDefault="00BB13A4" w:rsidP="00BB13A4">
      <w:pPr>
        <w:pStyle w:val="Heading1"/>
      </w:pPr>
      <w:bookmarkStart w:id="13" w:name="_Toc414543492"/>
      <w:bookmarkStart w:id="14" w:name="_Toc414607458"/>
      <w:bookmarkStart w:id="15" w:name="_Toc414607518"/>
      <w:r w:rsidRPr="00CE1BE2">
        <w:t>1</w:t>
      </w:r>
      <w:r w:rsidRPr="00CE1BE2">
        <w:tab/>
        <w:t>PoC Project Details</w:t>
      </w:r>
      <w:bookmarkEnd w:id="13"/>
      <w:bookmarkEnd w:id="14"/>
      <w:bookmarkEnd w:id="15"/>
    </w:p>
    <w:p w:rsidR="00BB13A4" w:rsidRPr="00CE1BE2" w:rsidRDefault="00BB13A4" w:rsidP="00BB13A4">
      <w:pPr>
        <w:pStyle w:val="Heading2"/>
      </w:pPr>
      <w:bookmarkStart w:id="16" w:name="_Toc414543493"/>
      <w:bookmarkStart w:id="17" w:name="_Toc414607459"/>
      <w:bookmarkStart w:id="18" w:name="_Toc414607519"/>
      <w:r w:rsidRPr="00CE1BE2">
        <w:t>1.1</w:t>
      </w:r>
      <w:r w:rsidRPr="00CE1BE2">
        <w:tab/>
        <w:t>PoC Project</w:t>
      </w:r>
      <w:bookmarkEnd w:id="16"/>
      <w:bookmarkEnd w:id="17"/>
      <w:bookmarkEnd w:id="18"/>
    </w:p>
    <w:p w:rsidR="00BB13A4" w:rsidRPr="00CE1BE2" w:rsidRDefault="00BB13A4" w:rsidP="00BB13A4">
      <w:r w:rsidRPr="00CE1BE2">
        <w:t>PoC Number (assigned by ETSI):</w:t>
      </w:r>
    </w:p>
    <w:p w:rsidR="00BB13A4" w:rsidRPr="00CE1BE2" w:rsidRDefault="00BB13A4" w:rsidP="00BB13A4">
      <w:r w:rsidRPr="00CE1BE2">
        <w:t>PoC Project Name:</w:t>
      </w:r>
      <w:r>
        <w:t xml:space="preserve">  Healthcare – Dynamic Hospital User, </w:t>
      </w:r>
      <w:proofErr w:type="spellStart"/>
      <w:r>
        <w:t>IoT</w:t>
      </w:r>
      <w:proofErr w:type="spellEnd"/>
      <w:r>
        <w:t xml:space="preserve"> and Alert Status management</w:t>
      </w:r>
    </w:p>
    <w:p w:rsidR="00BB13A4" w:rsidRPr="00CE1BE2" w:rsidRDefault="00BB13A4" w:rsidP="00BB13A4">
      <w:proofErr w:type="spellStart"/>
      <w:r w:rsidRPr="00CE1BE2">
        <w:t>PoC</w:t>
      </w:r>
      <w:proofErr w:type="spellEnd"/>
      <w:r w:rsidRPr="00CE1BE2">
        <w:t xml:space="preserve"> Project Host:</w:t>
      </w:r>
      <w:r>
        <w:t xml:space="preserve">  Quortus Ltd</w:t>
      </w:r>
    </w:p>
    <w:p w:rsidR="00BB13A4" w:rsidRPr="00CE1BE2" w:rsidRDefault="00BB13A4" w:rsidP="00BB13A4">
      <w:r w:rsidRPr="00CE1BE2">
        <w:t>Short Description:</w:t>
      </w:r>
      <w:r>
        <w:t xml:space="preserve">  </w:t>
      </w:r>
      <w:r w:rsidRPr="002721C7">
        <w:t>This POC considers a typical ‘Healthcare’ use-case where a Hospital is able to assign a cellular access hierarchy (using network slicing) and open access (at the edge) to local systems depending on managed access rights. It also demonstrates dynamic network slicing based on Hospital ‘alert’ status</w:t>
      </w:r>
    </w:p>
    <w:p w:rsidR="00BB13A4" w:rsidRPr="00CE1BE2" w:rsidRDefault="00BB13A4" w:rsidP="00BB13A4">
      <w:pPr>
        <w:pStyle w:val="Heading2"/>
      </w:pPr>
      <w:bookmarkStart w:id="19" w:name="_Toc414543494"/>
      <w:bookmarkStart w:id="20" w:name="_Toc414607460"/>
      <w:bookmarkStart w:id="21" w:name="_Toc414607520"/>
      <w:r w:rsidRPr="00CE1BE2">
        <w:lastRenderedPageBreak/>
        <w:t>1.2</w:t>
      </w:r>
      <w:r w:rsidRPr="00CE1BE2">
        <w:tab/>
        <w:t>PoC Team Members</w:t>
      </w:r>
      <w:bookmarkEnd w:id="19"/>
      <w:bookmarkEnd w:id="20"/>
      <w:bookmarkEnd w:id="21"/>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90"/>
        <w:gridCol w:w="1773"/>
        <w:gridCol w:w="1057"/>
        <w:gridCol w:w="2860"/>
        <w:gridCol w:w="975"/>
        <w:gridCol w:w="1197"/>
        <w:gridCol w:w="1522"/>
      </w:tblGrid>
      <w:tr w:rsidR="00BB13A4" w:rsidRPr="00CE1BE2" w:rsidTr="00DA20CB">
        <w:trPr>
          <w:trHeight w:val="717"/>
          <w:jc w:val="center"/>
        </w:trPr>
        <w:tc>
          <w:tcPr>
            <w:tcW w:w="390" w:type="dxa"/>
            <w:shd w:val="clear" w:color="auto" w:fill="D9D9D9"/>
            <w:vAlign w:val="center"/>
          </w:tcPr>
          <w:p w:rsidR="00BB13A4" w:rsidRPr="00CE1BE2" w:rsidRDefault="00BB13A4" w:rsidP="00B15D2C">
            <w:pPr>
              <w:pStyle w:val="TAH"/>
            </w:pPr>
          </w:p>
        </w:tc>
        <w:tc>
          <w:tcPr>
            <w:tcW w:w="1773" w:type="dxa"/>
            <w:shd w:val="clear" w:color="auto" w:fill="D9D9D9"/>
            <w:vAlign w:val="center"/>
          </w:tcPr>
          <w:p w:rsidR="00BB13A4" w:rsidRPr="00CE1BE2" w:rsidRDefault="00BB13A4" w:rsidP="00B15D2C">
            <w:pPr>
              <w:pStyle w:val="TAH"/>
            </w:pPr>
            <w:r w:rsidRPr="00CE1BE2">
              <w:t>Organisation name</w:t>
            </w:r>
          </w:p>
        </w:tc>
        <w:tc>
          <w:tcPr>
            <w:tcW w:w="1057" w:type="dxa"/>
            <w:shd w:val="clear" w:color="auto" w:fill="D9D9D9"/>
            <w:vAlign w:val="center"/>
          </w:tcPr>
          <w:p w:rsidR="00BB13A4" w:rsidRPr="00CE1BE2" w:rsidRDefault="00BB13A4" w:rsidP="00B15D2C">
            <w:pPr>
              <w:pStyle w:val="TAH"/>
            </w:pPr>
            <w:r w:rsidRPr="00CE1BE2">
              <w:t>ISG MEC participant</w:t>
            </w:r>
          </w:p>
          <w:p w:rsidR="00BB13A4" w:rsidRPr="00CE1BE2" w:rsidRDefault="00BB13A4" w:rsidP="00B15D2C">
            <w:pPr>
              <w:pStyle w:val="TAH"/>
            </w:pPr>
            <w:r w:rsidRPr="00CE1BE2">
              <w:t>(yes/no)</w:t>
            </w:r>
          </w:p>
        </w:tc>
        <w:tc>
          <w:tcPr>
            <w:tcW w:w="2860" w:type="dxa"/>
            <w:shd w:val="clear" w:color="auto" w:fill="D9D9D9"/>
            <w:vAlign w:val="center"/>
          </w:tcPr>
          <w:p w:rsidR="00BB13A4" w:rsidRPr="00CE1BE2" w:rsidRDefault="00BB13A4" w:rsidP="00B15D2C">
            <w:pPr>
              <w:pStyle w:val="TAH"/>
            </w:pPr>
            <w:r w:rsidRPr="00CE1BE2">
              <w:t>Contact (Email)</w:t>
            </w:r>
          </w:p>
        </w:tc>
        <w:tc>
          <w:tcPr>
            <w:tcW w:w="975" w:type="dxa"/>
            <w:shd w:val="clear" w:color="auto" w:fill="D9D9D9"/>
            <w:vAlign w:val="center"/>
          </w:tcPr>
          <w:p w:rsidR="00BB13A4" w:rsidRPr="00CE1BE2" w:rsidRDefault="00BB13A4" w:rsidP="00B15D2C">
            <w:pPr>
              <w:pStyle w:val="TAH"/>
            </w:pPr>
            <w:r w:rsidRPr="00CE1BE2">
              <w:t>PoC Point of Contact</w:t>
            </w:r>
          </w:p>
          <w:p w:rsidR="00BB13A4" w:rsidRPr="00CE1BE2" w:rsidRDefault="00BB13A4" w:rsidP="00B15D2C">
            <w:pPr>
              <w:pStyle w:val="TAH"/>
            </w:pPr>
            <w:r w:rsidRPr="00CE1BE2">
              <w:t>(*)</w:t>
            </w:r>
          </w:p>
        </w:tc>
        <w:tc>
          <w:tcPr>
            <w:tcW w:w="1197" w:type="dxa"/>
            <w:shd w:val="clear" w:color="auto" w:fill="D9D9D9"/>
            <w:vAlign w:val="center"/>
          </w:tcPr>
          <w:p w:rsidR="00BB13A4" w:rsidRPr="00CE1BE2" w:rsidRDefault="00BB13A4" w:rsidP="00B15D2C">
            <w:pPr>
              <w:pStyle w:val="TAH"/>
            </w:pPr>
            <w:r w:rsidRPr="00CE1BE2">
              <w:t>Role (</w:t>
            </w:r>
            <w:r>
              <w:t>*</w:t>
            </w:r>
            <w:r w:rsidRPr="00CE1BE2">
              <w:t>*)</w:t>
            </w:r>
          </w:p>
        </w:tc>
        <w:tc>
          <w:tcPr>
            <w:tcW w:w="1522" w:type="dxa"/>
            <w:shd w:val="clear" w:color="auto" w:fill="D9D9D9"/>
            <w:vAlign w:val="center"/>
          </w:tcPr>
          <w:p w:rsidR="00BB13A4" w:rsidRPr="00CE1BE2" w:rsidRDefault="00BB13A4" w:rsidP="00B15D2C">
            <w:pPr>
              <w:pStyle w:val="TAH"/>
            </w:pPr>
            <w:r>
              <w:t xml:space="preserve">PoC </w:t>
            </w:r>
            <w:r w:rsidRPr="00CE1BE2">
              <w:t>Components</w:t>
            </w:r>
          </w:p>
        </w:tc>
      </w:tr>
      <w:tr w:rsidR="00BB13A4" w:rsidRPr="00CE1BE2" w:rsidTr="00DA20CB">
        <w:trPr>
          <w:trHeight w:val="169"/>
          <w:jc w:val="center"/>
        </w:trPr>
        <w:tc>
          <w:tcPr>
            <w:tcW w:w="390" w:type="dxa"/>
            <w:shd w:val="clear" w:color="auto" w:fill="auto"/>
            <w:vAlign w:val="center"/>
          </w:tcPr>
          <w:p w:rsidR="00BB13A4" w:rsidRPr="00CE1BE2" w:rsidRDefault="00BB13A4" w:rsidP="00B15D2C">
            <w:pPr>
              <w:pStyle w:val="TAL"/>
            </w:pPr>
            <w:r w:rsidRPr="00CE1BE2">
              <w:t>1</w:t>
            </w:r>
          </w:p>
        </w:tc>
        <w:tc>
          <w:tcPr>
            <w:tcW w:w="1773" w:type="dxa"/>
            <w:shd w:val="clear" w:color="auto" w:fill="auto"/>
            <w:vAlign w:val="center"/>
          </w:tcPr>
          <w:p w:rsidR="00BB13A4" w:rsidRPr="00CE1BE2" w:rsidRDefault="00BB13A4" w:rsidP="00B15D2C">
            <w:pPr>
              <w:pStyle w:val="TAL"/>
            </w:pPr>
            <w:r>
              <w:t>Quortus Ltd</w:t>
            </w:r>
          </w:p>
        </w:tc>
        <w:tc>
          <w:tcPr>
            <w:tcW w:w="1057" w:type="dxa"/>
          </w:tcPr>
          <w:p w:rsidR="00BB13A4" w:rsidRPr="00CE1BE2" w:rsidRDefault="00BB13A4" w:rsidP="00B15D2C">
            <w:pPr>
              <w:pStyle w:val="TAL"/>
            </w:pPr>
            <w:r>
              <w:t>Yes (member)</w:t>
            </w:r>
          </w:p>
        </w:tc>
        <w:tc>
          <w:tcPr>
            <w:tcW w:w="2860" w:type="dxa"/>
          </w:tcPr>
          <w:p w:rsidR="00BB13A4" w:rsidRPr="00CE1BE2" w:rsidRDefault="00BB13A4" w:rsidP="00B15D2C">
            <w:pPr>
              <w:pStyle w:val="TAL"/>
            </w:pPr>
            <w:r>
              <w:t>paul.trubridge@quortus.com</w:t>
            </w:r>
          </w:p>
        </w:tc>
        <w:tc>
          <w:tcPr>
            <w:tcW w:w="975" w:type="dxa"/>
          </w:tcPr>
          <w:p w:rsidR="00BB13A4" w:rsidRPr="00CE1BE2" w:rsidRDefault="00BB13A4" w:rsidP="00B15D2C">
            <w:pPr>
              <w:pStyle w:val="TAL"/>
              <w:jc w:val="center"/>
            </w:pPr>
            <w:r>
              <w:t>X</w:t>
            </w:r>
          </w:p>
        </w:tc>
        <w:tc>
          <w:tcPr>
            <w:tcW w:w="1197" w:type="dxa"/>
            <w:shd w:val="clear" w:color="auto" w:fill="auto"/>
            <w:vAlign w:val="center"/>
          </w:tcPr>
          <w:p w:rsidR="00BB13A4" w:rsidRPr="00CE1BE2" w:rsidRDefault="00BB13A4" w:rsidP="00B15D2C">
            <w:pPr>
              <w:pStyle w:val="TAL"/>
            </w:pPr>
            <w:r>
              <w:t>Application Provider</w:t>
            </w:r>
          </w:p>
        </w:tc>
        <w:tc>
          <w:tcPr>
            <w:tcW w:w="1522" w:type="dxa"/>
            <w:shd w:val="clear" w:color="auto" w:fill="auto"/>
            <w:vAlign w:val="center"/>
          </w:tcPr>
          <w:p w:rsidR="00BB13A4" w:rsidRPr="00CE1BE2" w:rsidRDefault="00BB13A4" w:rsidP="00B15D2C">
            <w:pPr>
              <w:pStyle w:val="TAL"/>
            </w:pPr>
          </w:p>
        </w:tc>
      </w:tr>
      <w:tr w:rsidR="00BB13A4" w:rsidRPr="00CE1BE2" w:rsidTr="00DA20CB">
        <w:trPr>
          <w:trHeight w:val="182"/>
          <w:jc w:val="center"/>
        </w:trPr>
        <w:tc>
          <w:tcPr>
            <w:tcW w:w="390" w:type="dxa"/>
            <w:shd w:val="clear" w:color="auto" w:fill="auto"/>
            <w:vAlign w:val="center"/>
          </w:tcPr>
          <w:p w:rsidR="00BB13A4" w:rsidRPr="00CE1BE2" w:rsidRDefault="00BB13A4" w:rsidP="00B15D2C">
            <w:pPr>
              <w:pStyle w:val="TAL"/>
            </w:pPr>
            <w:r w:rsidRPr="00CE1BE2">
              <w:t>2</w:t>
            </w:r>
          </w:p>
        </w:tc>
        <w:tc>
          <w:tcPr>
            <w:tcW w:w="1773" w:type="dxa"/>
            <w:shd w:val="clear" w:color="auto" w:fill="auto"/>
            <w:vAlign w:val="center"/>
          </w:tcPr>
          <w:p w:rsidR="00BB13A4" w:rsidRPr="00CE1BE2" w:rsidRDefault="00BB13A4" w:rsidP="00B15D2C">
            <w:pPr>
              <w:pStyle w:val="TAL"/>
            </w:pPr>
            <w:proofErr w:type="spellStart"/>
            <w:r>
              <w:t>Argela</w:t>
            </w:r>
            <w:proofErr w:type="spellEnd"/>
          </w:p>
        </w:tc>
        <w:tc>
          <w:tcPr>
            <w:tcW w:w="1057" w:type="dxa"/>
          </w:tcPr>
          <w:p w:rsidR="00BB13A4" w:rsidRPr="00CE1BE2" w:rsidRDefault="00BB13A4" w:rsidP="00B15D2C">
            <w:pPr>
              <w:pStyle w:val="TAL"/>
            </w:pPr>
            <w:r>
              <w:t>No</w:t>
            </w:r>
          </w:p>
        </w:tc>
        <w:tc>
          <w:tcPr>
            <w:tcW w:w="2860" w:type="dxa"/>
          </w:tcPr>
          <w:p w:rsidR="00BB13A4" w:rsidRPr="00CE1BE2" w:rsidRDefault="00BB13A4" w:rsidP="00B15D2C">
            <w:pPr>
              <w:pStyle w:val="TAL"/>
            </w:pPr>
            <w:r>
              <w:t>Oguz.Sunay@argela-usa.com</w:t>
            </w:r>
          </w:p>
        </w:tc>
        <w:tc>
          <w:tcPr>
            <w:tcW w:w="975" w:type="dxa"/>
          </w:tcPr>
          <w:p w:rsidR="00BB13A4" w:rsidRPr="00CE1BE2" w:rsidRDefault="00BB13A4" w:rsidP="00B15D2C">
            <w:pPr>
              <w:pStyle w:val="TAL"/>
            </w:pPr>
          </w:p>
        </w:tc>
        <w:tc>
          <w:tcPr>
            <w:tcW w:w="1197" w:type="dxa"/>
            <w:shd w:val="clear" w:color="auto" w:fill="auto"/>
            <w:vAlign w:val="center"/>
          </w:tcPr>
          <w:p w:rsidR="00BB13A4" w:rsidRPr="00CE1BE2" w:rsidRDefault="00BB13A4" w:rsidP="00B15D2C">
            <w:pPr>
              <w:pStyle w:val="TAL"/>
            </w:pPr>
            <w:r>
              <w:t>Infrastructure Provider</w:t>
            </w:r>
          </w:p>
        </w:tc>
        <w:tc>
          <w:tcPr>
            <w:tcW w:w="1522" w:type="dxa"/>
            <w:shd w:val="clear" w:color="auto" w:fill="auto"/>
            <w:vAlign w:val="center"/>
          </w:tcPr>
          <w:p w:rsidR="00BB13A4" w:rsidRPr="00CE1BE2" w:rsidRDefault="00BB13A4" w:rsidP="00B15D2C">
            <w:pPr>
              <w:pStyle w:val="TAL"/>
            </w:pPr>
          </w:p>
        </w:tc>
      </w:tr>
      <w:tr w:rsidR="00BB13A4" w:rsidRPr="00CE1BE2" w:rsidTr="00DA20CB">
        <w:trPr>
          <w:trHeight w:val="169"/>
          <w:jc w:val="center"/>
        </w:trPr>
        <w:tc>
          <w:tcPr>
            <w:tcW w:w="390" w:type="dxa"/>
            <w:shd w:val="clear" w:color="auto" w:fill="auto"/>
            <w:vAlign w:val="center"/>
          </w:tcPr>
          <w:p w:rsidR="00BB13A4" w:rsidRPr="00CE1BE2" w:rsidRDefault="00BB13A4" w:rsidP="00B15D2C">
            <w:pPr>
              <w:pStyle w:val="TAL"/>
            </w:pPr>
            <w:r w:rsidRPr="00CE1BE2">
              <w:t>3</w:t>
            </w:r>
          </w:p>
        </w:tc>
        <w:tc>
          <w:tcPr>
            <w:tcW w:w="1773" w:type="dxa"/>
            <w:shd w:val="clear" w:color="auto" w:fill="auto"/>
            <w:vAlign w:val="center"/>
          </w:tcPr>
          <w:p w:rsidR="00BB13A4" w:rsidRPr="00CE1BE2" w:rsidRDefault="00BB13A4" w:rsidP="00B15D2C">
            <w:pPr>
              <w:pStyle w:val="TAL"/>
            </w:pPr>
            <w:r>
              <w:t>Turk Telecom</w:t>
            </w:r>
          </w:p>
        </w:tc>
        <w:tc>
          <w:tcPr>
            <w:tcW w:w="1057" w:type="dxa"/>
          </w:tcPr>
          <w:p w:rsidR="00BB13A4" w:rsidRPr="00CE1BE2" w:rsidRDefault="00BB13A4" w:rsidP="00B15D2C">
            <w:pPr>
              <w:pStyle w:val="TAL"/>
            </w:pPr>
            <w:r>
              <w:t>No</w:t>
            </w:r>
          </w:p>
        </w:tc>
        <w:tc>
          <w:tcPr>
            <w:tcW w:w="2860" w:type="dxa"/>
          </w:tcPr>
          <w:p w:rsidR="00BB13A4" w:rsidRPr="00CE1BE2" w:rsidRDefault="00BB13A4" w:rsidP="00B15D2C">
            <w:pPr>
              <w:pStyle w:val="TAL"/>
            </w:pPr>
            <w:r w:rsidRPr="00523289">
              <w:t>savas.tanyeri@turktelekom.com.tr</w:t>
            </w:r>
          </w:p>
        </w:tc>
        <w:tc>
          <w:tcPr>
            <w:tcW w:w="975" w:type="dxa"/>
          </w:tcPr>
          <w:p w:rsidR="00BB13A4" w:rsidRPr="00CE1BE2" w:rsidRDefault="00BB13A4" w:rsidP="00B15D2C">
            <w:pPr>
              <w:pStyle w:val="TAL"/>
            </w:pPr>
          </w:p>
        </w:tc>
        <w:tc>
          <w:tcPr>
            <w:tcW w:w="1197" w:type="dxa"/>
            <w:shd w:val="clear" w:color="auto" w:fill="auto"/>
            <w:vAlign w:val="center"/>
          </w:tcPr>
          <w:p w:rsidR="00BB13A4" w:rsidRPr="00CE1BE2" w:rsidRDefault="00BB13A4" w:rsidP="00B15D2C">
            <w:pPr>
              <w:pStyle w:val="TAL"/>
            </w:pPr>
            <w:r>
              <w:t>Network Operator</w:t>
            </w:r>
          </w:p>
        </w:tc>
        <w:tc>
          <w:tcPr>
            <w:tcW w:w="1522" w:type="dxa"/>
            <w:shd w:val="clear" w:color="auto" w:fill="auto"/>
            <w:vAlign w:val="center"/>
          </w:tcPr>
          <w:p w:rsidR="00BB13A4" w:rsidRPr="00CE1BE2" w:rsidRDefault="00BB13A4" w:rsidP="00B15D2C">
            <w:pPr>
              <w:pStyle w:val="TAL"/>
            </w:pPr>
          </w:p>
        </w:tc>
      </w:tr>
      <w:tr w:rsidR="00BB13A4" w:rsidRPr="00CE1BE2" w:rsidTr="00B15D2C">
        <w:trPr>
          <w:trHeight w:val="704"/>
          <w:jc w:val="center"/>
        </w:trPr>
        <w:tc>
          <w:tcPr>
            <w:tcW w:w="9774" w:type="dxa"/>
            <w:gridSpan w:val="7"/>
            <w:shd w:val="clear" w:color="auto" w:fill="auto"/>
            <w:vAlign w:val="center"/>
          </w:tcPr>
          <w:p w:rsidR="00BB13A4" w:rsidRDefault="00BB13A4" w:rsidP="00B15D2C">
            <w:pPr>
              <w:pStyle w:val="TAN"/>
            </w:pPr>
            <w:r>
              <w:t>(</w:t>
            </w:r>
            <w:r w:rsidRPr="00E06987">
              <w:t xml:space="preserve">*) Identify the </w:t>
            </w:r>
            <w:proofErr w:type="spellStart"/>
            <w:r w:rsidRPr="00E06987">
              <w:t>PoC</w:t>
            </w:r>
            <w:proofErr w:type="spellEnd"/>
            <w:r w:rsidRPr="00E06987">
              <w:t xml:space="preserve"> Point of Contact with an X.</w:t>
            </w:r>
          </w:p>
          <w:p w:rsidR="00BB13A4" w:rsidRPr="00CE1BE2" w:rsidRDefault="00BB13A4" w:rsidP="00B15D2C">
            <w:pPr>
              <w:pStyle w:val="TAN"/>
              <w:ind w:left="0" w:firstLine="0"/>
            </w:pPr>
            <w:r>
              <w:t>(**) The Role will be</w:t>
            </w:r>
            <w:r w:rsidRPr="00E06987">
              <w:t xml:space="preserve"> network operator/service provider, infrastructure provider, application provider or other.</w:t>
            </w:r>
          </w:p>
        </w:tc>
      </w:tr>
    </w:tbl>
    <w:p w:rsidR="00BB13A4" w:rsidRDefault="00BB13A4" w:rsidP="00BB13A4">
      <w:pPr>
        <w:pStyle w:val="TAN"/>
        <w:tabs>
          <w:tab w:val="left" w:pos="6495"/>
        </w:tabs>
      </w:pPr>
      <w:r>
        <w:tab/>
      </w:r>
      <w:r>
        <w:tab/>
      </w:r>
    </w:p>
    <w:p w:rsidR="00BB13A4" w:rsidRPr="00CE1BE2" w:rsidRDefault="00BB13A4" w:rsidP="00BB13A4">
      <w:r w:rsidRPr="00CE1BE2">
        <w:t>All the PoC Team members listed above declare that the information in this proposal is conformant to their plans at this date and commit to inform ETSI timely in case of changes in the PoC Team, scope or timeline.</w:t>
      </w:r>
    </w:p>
    <w:p w:rsidR="00BB13A4" w:rsidRPr="00CE1BE2" w:rsidRDefault="00BB13A4" w:rsidP="00BB13A4"/>
    <w:p w:rsidR="00BB13A4" w:rsidRPr="00CE1BE2" w:rsidRDefault="00BB13A4" w:rsidP="00BB13A4">
      <w:pPr>
        <w:pStyle w:val="Heading2"/>
      </w:pPr>
      <w:bookmarkStart w:id="22" w:name="_Toc414543495"/>
      <w:bookmarkStart w:id="23" w:name="_Toc414607461"/>
      <w:bookmarkStart w:id="24" w:name="_Toc414607521"/>
      <w:r w:rsidRPr="00CE1BE2">
        <w:t>1.3</w:t>
      </w:r>
      <w:r w:rsidRPr="00CE1BE2">
        <w:tab/>
        <w:t>PoC Project Scope</w:t>
      </w:r>
      <w:bookmarkEnd w:id="22"/>
      <w:bookmarkEnd w:id="23"/>
      <w:bookmarkEnd w:id="24"/>
    </w:p>
    <w:p w:rsidR="00BB13A4" w:rsidRPr="00CE1BE2" w:rsidRDefault="00BB13A4" w:rsidP="00BB13A4">
      <w:pPr>
        <w:pStyle w:val="Heading3"/>
      </w:pPr>
      <w:bookmarkStart w:id="25" w:name="_Toc414607462"/>
      <w:bookmarkStart w:id="26" w:name="_Toc414607522"/>
      <w:r w:rsidRPr="00CE1BE2">
        <w:t>1.3.1</w:t>
      </w:r>
      <w:r w:rsidRPr="00CE1BE2">
        <w:tab/>
        <w:t>PoC Topics</w:t>
      </w:r>
      <w:bookmarkEnd w:id="25"/>
      <w:bookmarkEnd w:id="26"/>
    </w:p>
    <w:p w:rsidR="00BB13A4" w:rsidRPr="00CE1BE2" w:rsidRDefault="00BB13A4" w:rsidP="00BB13A4">
      <w:r w:rsidRPr="00CE1BE2">
        <w:t xml:space="preserve">PoC Topics identified in this </w:t>
      </w:r>
      <w:r>
        <w:t>clause</w:t>
      </w:r>
      <w:r w:rsidRPr="00CE1BE2">
        <w:t xml:space="preserve"> need to be taken for the PoC Topic List identified by ISG MEC and publicly available in the </w:t>
      </w:r>
      <w:r>
        <w:t>MEC</w:t>
      </w:r>
      <w:r w:rsidRPr="00CE1BE2">
        <w:t xml:space="preserve"> WIKI. PoC Teams addressing these topics commit to submit the expected contributions in a timely manner.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BB13A4" w:rsidRPr="00CE1BE2" w:rsidTr="00B15D2C">
        <w:trPr>
          <w:jc w:val="center"/>
        </w:trPr>
        <w:tc>
          <w:tcPr>
            <w:tcW w:w="1099" w:type="dxa"/>
            <w:shd w:val="clear" w:color="auto" w:fill="D9D9D9"/>
            <w:vAlign w:val="center"/>
          </w:tcPr>
          <w:p w:rsidR="00BB13A4" w:rsidRPr="00CE1BE2" w:rsidRDefault="00BB13A4" w:rsidP="00B15D2C">
            <w:pPr>
              <w:pStyle w:val="TAH"/>
            </w:pPr>
            <w:r w:rsidRPr="00CE1BE2">
              <w:t>PoC Topic Code</w:t>
            </w:r>
          </w:p>
        </w:tc>
        <w:tc>
          <w:tcPr>
            <w:tcW w:w="2411" w:type="dxa"/>
            <w:shd w:val="clear" w:color="auto" w:fill="D9D9D9"/>
            <w:vAlign w:val="center"/>
          </w:tcPr>
          <w:p w:rsidR="00BB13A4" w:rsidRPr="00CE1BE2" w:rsidRDefault="00BB13A4" w:rsidP="00B15D2C">
            <w:pPr>
              <w:pStyle w:val="TAH"/>
            </w:pPr>
            <w:r w:rsidRPr="00CE1BE2">
              <w:t>PoC Topic Description</w:t>
            </w:r>
          </w:p>
        </w:tc>
        <w:tc>
          <w:tcPr>
            <w:tcW w:w="1985" w:type="dxa"/>
            <w:shd w:val="clear" w:color="auto" w:fill="D9D9D9"/>
            <w:vAlign w:val="center"/>
          </w:tcPr>
          <w:p w:rsidR="00BB13A4" w:rsidRPr="00CE1BE2" w:rsidRDefault="00BB13A4" w:rsidP="00B15D2C">
            <w:pPr>
              <w:pStyle w:val="TAH"/>
            </w:pPr>
            <w:r w:rsidRPr="00CE1BE2">
              <w:t>Related WG/WI</w:t>
            </w:r>
          </w:p>
        </w:tc>
        <w:tc>
          <w:tcPr>
            <w:tcW w:w="2977" w:type="dxa"/>
            <w:shd w:val="clear" w:color="auto" w:fill="D9D9D9"/>
            <w:vAlign w:val="center"/>
          </w:tcPr>
          <w:p w:rsidR="00BB13A4" w:rsidRPr="00CE1BE2" w:rsidRDefault="00BB13A4" w:rsidP="00B15D2C">
            <w:pPr>
              <w:pStyle w:val="TAH"/>
            </w:pPr>
            <w:r w:rsidRPr="00CE1BE2">
              <w:t>Expected Contribution</w:t>
            </w:r>
          </w:p>
        </w:tc>
        <w:tc>
          <w:tcPr>
            <w:tcW w:w="1383" w:type="dxa"/>
            <w:shd w:val="clear" w:color="auto" w:fill="D9D9D9"/>
            <w:vAlign w:val="center"/>
          </w:tcPr>
          <w:p w:rsidR="00BB13A4" w:rsidRPr="00CE1BE2" w:rsidRDefault="00BB13A4" w:rsidP="00B15D2C">
            <w:pPr>
              <w:pStyle w:val="TAH"/>
            </w:pPr>
            <w:r w:rsidRPr="00CE1BE2">
              <w:t>Target Date</w:t>
            </w:r>
          </w:p>
        </w:tc>
      </w:tr>
      <w:tr w:rsidR="00BB13A4" w:rsidRPr="00CE1BE2" w:rsidTr="00B15D2C">
        <w:trPr>
          <w:jc w:val="center"/>
        </w:trPr>
        <w:tc>
          <w:tcPr>
            <w:tcW w:w="1099" w:type="dxa"/>
            <w:shd w:val="clear" w:color="auto" w:fill="auto"/>
            <w:vAlign w:val="center"/>
          </w:tcPr>
          <w:p w:rsidR="00BB13A4" w:rsidRPr="00CE1BE2" w:rsidRDefault="00BB13A4" w:rsidP="00B15D2C">
            <w:pPr>
              <w:rPr>
                <w:iCs/>
              </w:rPr>
            </w:pPr>
            <w:r>
              <w:rPr>
                <w:iCs/>
              </w:rPr>
              <w:t>PT01</w:t>
            </w:r>
          </w:p>
        </w:tc>
        <w:tc>
          <w:tcPr>
            <w:tcW w:w="2411" w:type="dxa"/>
            <w:shd w:val="clear" w:color="auto" w:fill="auto"/>
            <w:vAlign w:val="center"/>
          </w:tcPr>
          <w:p w:rsidR="00BB13A4" w:rsidRPr="00CE1BE2" w:rsidRDefault="00BB13A4" w:rsidP="00B15D2C">
            <w:pPr>
              <w:rPr>
                <w:iCs/>
              </w:rPr>
            </w:pPr>
            <w:r w:rsidRPr="002721C7">
              <w:rPr>
                <w:iCs/>
              </w:rPr>
              <w:t>Demonstration of MEC Service Scenarios (new scenario)</w:t>
            </w:r>
          </w:p>
        </w:tc>
        <w:tc>
          <w:tcPr>
            <w:tcW w:w="1985" w:type="dxa"/>
            <w:shd w:val="clear" w:color="auto" w:fill="auto"/>
            <w:vAlign w:val="center"/>
          </w:tcPr>
          <w:p w:rsidR="00BB13A4" w:rsidRPr="00CE1BE2" w:rsidRDefault="00BB13A4" w:rsidP="00B15D2C">
            <w:pPr>
              <w:rPr>
                <w:iCs/>
              </w:rPr>
            </w:pPr>
            <w:r w:rsidRPr="002721C7">
              <w:rPr>
                <w:iCs/>
              </w:rPr>
              <w:t>MEC-004 Service Scenarios (GS MEC-IEG 004) - Mobile Edge Computing (MEC) Service Scenarios</w:t>
            </w:r>
          </w:p>
        </w:tc>
        <w:tc>
          <w:tcPr>
            <w:tcW w:w="2977" w:type="dxa"/>
            <w:shd w:val="clear" w:color="auto" w:fill="auto"/>
            <w:vAlign w:val="center"/>
          </w:tcPr>
          <w:p w:rsidR="00BB13A4" w:rsidRPr="00CE1BE2" w:rsidRDefault="00BB13A4" w:rsidP="00B15D2C">
            <w:pPr>
              <w:rPr>
                <w:iCs/>
              </w:rPr>
            </w:pPr>
            <w:r w:rsidRPr="002721C7">
              <w:rPr>
                <w:iCs/>
              </w:rPr>
              <w:t>Technical Report providing the lessons learnt and technical information requested by PT#01</w:t>
            </w:r>
          </w:p>
        </w:tc>
        <w:tc>
          <w:tcPr>
            <w:tcW w:w="1383" w:type="dxa"/>
            <w:shd w:val="clear" w:color="auto" w:fill="auto"/>
            <w:vAlign w:val="center"/>
          </w:tcPr>
          <w:p w:rsidR="00BB13A4" w:rsidRPr="00CE1BE2" w:rsidRDefault="00BB13A4" w:rsidP="00B15D2C">
            <w:pPr>
              <w:rPr>
                <w:iCs/>
              </w:rPr>
            </w:pPr>
            <w:r>
              <w:rPr>
                <w:iCs/>
              </w:rPr>
              <w:t>Dec 2016</w:t>
            </w:r>
          </w:p>
        </w:tc>
      </w:tr>
      <w:tr w:rsidR="006334F7" w:rsidRPr="00CE1BE2" w:rsidTr="006E479B">
        <w:trPr>
          <w:jc w:val="center"/>
        </w:trPr>
        <w:tc>
          <w:tcPr>
            <w:tcW w:w="1099" w:type="dxa"/>
            <w:shd w:val="clear" w:color="auto" w:fill="auto"/>
            <w:vAlign w:val="center"/>
          </w:tcPr>
          <w:p w:rsidR="006334F7" w:rsidRPr="00CE1BE2" w:rsidRDefault="006334F7" w:rsidP="006E479B">
            <w:pPr>
              <w:pStyle w:val="TAL"/>
            </w:pPr>
            <w:r>
              <w:t>PT03</w:t>
            </w:r>
          </w:p>
        </w:tc>
        <w:tc>
          <w:tcPr>
            <w:tcW w:w="2411" w:type="dxa"/>
            <w:shd w:val="clear" w:color="auto" w:fill="auto"/>
            <w:vAlign w:val="center"/>
          </w:tcPr>
          <w:p w:rsidR="006334F7" w:rsidRPr="00CE1BE2" w:rsidRDefault="006334F7" w:rsidP="006E479B">
            <w:pPr>
              <w:pStyle w:val="TAL"/>
            </w:pPr>
            <w:r>
              <w:t>MEC Architecture</w:t>
            </w:r>
          </w:p>
        </w:tc>
        <w:tc>
          <w:tcPr>
            <w:tcW w:w="1985" w:type="dxa"/>
            <w:shd w:val="clear" w:color="auto" w:fill="auto"/>
            <w:vAlign w:val="center"/>
          </w:tcPr>
          <w:p w:rsidR="006334F7" w:rsidRPr="00CE1BE2" w:rsidRDefault="006334F7" w:rsidP="006E479B">
            <w:pPr>
              <w:pStyle w:val="TAL"/>
            </w:pPr>
            <w:r>
              <w:t>MEC003</w:t>
            </w:r>
          </w:p>
        </w:tc>
        <w:tc>
          <w:tcPr>
            <w:tcW w:w="2977" w:type="dxa"/>
            <w:shd w:val="clear" w:color="auto" w:fill="auto"/>
            <w:vAlign w:val="center"/>
          </w:tcPr>
          <w:p w:rsidR="006334F7" w:rsidRPr="00CE1BE2" w:rsidRDefault="006334F7" w:rsidP="006E479B">
            <w:pPr>
              <w:pStyle w:val="TAL"/>
            </w:pPr>
            <w:r>
              <w:t>Technical report detailing C-Plane aware MEC architecture</w:t>
            </w:r>
          </w:p>
        </w:tc>
        <w:tc>
          <w:tcPr>
            <w:tcW w:w="1383" w:type="dxa"/>
            <w:shd w:val="clear" w:color="auto" w:fill="auto"/>
            <w:vAlign w:val="center"/>
          </w:tcPr>
          <w:p w:rsidR="006334F7" w:rsidRPr="00CE1BE2" w:rsidRDefault="006334F7" w:rsidP="006E479B">
            <w:pPr>
              <w:pStyle w:val="TAL"/>
            </w:pPr>
            <w:r>
              <w:t>30/11/16</w:t>
            </w:r>
          </w:p>
        </w:tc>
      </w:tr>
    </w:tbl>
    <w:p w:rsidR="00BB13A4" w:rsidRPr="00CE1BE2" w:rsidRDefault="00BB13A4" w:rsidP="00BB13A4"/>
    <w:p w:rsidR="00BB13A4" w:rsidRPr="00CE1BE2" w:rsidRDefault="00BB13A4" w:rsidP="00BB13A4">
      <w:pPr>
        <w:pStyle w:val="Heading3"/>
      </w:pPr>
      <w:bookmarkStart w:id="27" w:name="_Toc414607463"/>
      <w:bookmarkStart w:id="28" w:name="_Toc414607523"/>
      <w:r w:rsidRPr="00CE1BE2">
        <w:t>1.3.2</w:t>
      </w:r>
      <w:r w:rsidRPr="00CE1BE2">
        <w:tab/>
        <w:t>Other topics in scope</w:t>
      </w:r>
      <w:bookmarkEnd w:id="27"/>
      <w:bookmarkEnd w:id="28"/>
    </w:p>
    <w:p w:rsidR="00BB13A4" w:rsidRPr="00CE1BE2" w:rsidRDefault="00BB13A4" w:rsidP="00BB13A4">
      <w:r w:rsidRPr="00CE1BE2">
        <w:t>List here any additional topic for which the PoC plans to provide input/feedback to the ISG MEC.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BB13A4" w:rsidRPr="00CE1BE2" w:rsidTr="00B15D2C">
        <w:trPr>
          <w:jc w:val="center"/>
        </w:trPr>
        <w:tc>
          <w:tcPr>
            <w:tcW w:w="1099" w:type="dxa"/>
            <w:shd w:val="clear" w:color="auto" w:fill="D9D9D9"/>
            <w:vAlign w:val="center"/>
          </w:tcPr>
          <w:p w:rsidR="00BB13A4" w:rsidRPr="00CE1BE2" w:rsidRDefault="00BB13A4" w:rsidP="00B15D2C">
            <w:pPr>
              <w:pStyle w:val="TAH"/>
            </w:pPr>
            <w:r w:rsidRPr="00CE1BE2">
              <w:t>PoC Topic Code</w:t>
            </w:r>
          </w:p>
        </w:tc>
        <w:tc>
          <w:tcPr>
            <w:tcW w:w="2411" w:type="dxa"/>
            <w:shd w:val="clear" w:color="auto" w:fill="D9D9D9"/>
            <w:vAlign w:val="center"/>
          </w:tcPr>
          <w:p w:rsidR="00BB13A4" w:rsidRPr="00CE1BE2" w:rsidRDefault="00BB13A4" w:rsidP="00B15D2C">
            <w:pPr>
              <w:pStyle w:val="TAH"/>
            </w:pPr>
            <w:r w:rsidRPr="00CE1BE2">
              <w:t>PoC Topic Description</w:t>
            </w:r>
          </w:p>
        </w:tc>
        <w:tc>
          <w:tcPr>
            <w:tcW w:w="1985" w:type="dxa"/>
            <w:shd w:val="clear" w:color="auto" w:fill="D9D9D9"/>
            <w:vAlign w:val="center"/>
          </w:tcPr>
          <w:p w:rsidR="00BB13A4" w:rsidRPr="00CE1BE2" w:rsidRDefault="00BB13A4" w:rsidP="00B15D2C">
            <w:pPr>
              <w:pStyle w:val="TAH"/>
            </w:pPr>
            <w:r w:rsidRPr="00CE1BE2">
              <w:t>Related WG/WI</w:t>
            </w:r>
          </w:p>
        </w:tc>
        <w:tc>
          <w:tcPr>
            <w:tcW w:w="2977" w:type="dxa"/>
            <w:shd w:val="clear" w:color="auto" w:fill="D9D9D9"/>
            <w:vAlign w:val="center"/>
          </w:tcPr>
          <w:p w:rsidR="00BB13A4" w:rsidRPr="00CE1BE2" w:rsidRDefault="00BB13A4" w:rsidP="00B15D2C">
            <w:pPr>
              <w:pStyle w:val="TAH"/>
            </w:pPr>
            <w:r w:rsidRPr="00CE1BE2">
              <w:t>Expected Contribution</w:t>
            </w:r>
          </w:p>
        </w:tc>
        <w:tc>
          <w:tcPr>
            <w:tcW w:w="1383" w:type="dxa"/>
            <w:shd w:val="clear" w:color="auto" w:fill="D9D9D9"/>
            <w:vAlign w:val="center"/>
          </w:tcPr>
          <w:p w:rsidR="00BB13A4" w:rsidRPr="00CE1BE2" w:rsidRDefault="00BB13A4" w:rsidP="00B15D2C">
            <w:pPr>
              <w:pStyle w:val="TAH"/>
            </w:pPr>
            <w:r w:rsidRPr="00CE1BE2">
              <w:t>Target Date</w:t>
            </w:r>
          </w:p>
        </w:tc>
      </w:tr>
      <w:tr w:rsidR="00BB13A4" w:rsidRPr="00CE1BE2" w:rsidTr="00B15D2C">
        <w:trPr>
          <w:jc w:val="center"/>
        </w:trPr>
        <w:tc>
          <w:tcPr>
            <w:tcW w:w="1099" w:type="dxa"/>
            <w:shd w:val="clear" w:color="auto" w:fill="auto"/>
            <w:vAlign w:val="center"/>
          </w:tcPr>
          <w:p w:rsidR="00BB13A4" w:rsidRPr="00CE1BE2" w:rsidRDefault="00BB13A4" w:rsidP="00B15D2C">
            <w:pPr>
              <w:pStyle w:val="TAL"/>
            </w:pPr>
          </w:p>
        </w:tc>
        <w:tc>
          <w:tcPr>
            <w:tcW w:w="2411" w:type="dxa"/>
            <w:shd w:val="clear" w:color="auto" w:fill="auto"/>
            <w:vAlign w:val="center"/>
          </w:tcPr>
          <w:p w:rsidR="00BB13A4" w:rsidRPr="00CE1BE2" w:rsidRDefault="00BB13A4" w:rsidP="00B15D2C">
            <w:pPr>
              <w:pStyle w:val="TAL"/>
            </w:pPr>
          </w:p>
        </w:tc>
        <w:tc>
          <w:tcPr>
            <w:tcW w:w="1985" w:type="dxa"/>
            <w:shd w:val="clear" w:color="auto" w:fill="auto"/>
            <w:vAlign w:val="center"/>
          </w:tcPr>
          <w:p w:rsidR="00BB13A4" w:rsidRPr="00CE1BE2" w:rsidRDefault="00BB13A4" w:rsidP="00B15D2C">
            <w:pPr>
              <w:pStyle w:val="TAL"/>
            </w:pPr>
          </w:p>
        </w:tc>
        <w:tc>
          <w:tcPr>
            <w:tcW w:w="2977" w:type="dxa"/>
            <w:shd w:val="clear" w:color="auto" w:fill="auto"/>
            <w:vAlign w:val="center"/>
          </w:tcPr>
          <w:p w:rsidR="00BB13A4" w:rsidRPr="00CE1BE2" w:rsidRDefault="00BB13A4" w:rsidP="00B15D2C">
            <w:pPr>
              <w:pStyle w:val="TAL"/>
            </w:pPr>
          </w:p>
        </w:tc>
        <w:tc>
          <w:tcPr>
            <w:tcW w:w="1383" w:type="dxa"/>
            <w:shd w:val="clear" w:color="auto" w:fill="auto"/>
            <w:vAlign w:val="center"/>
          </w:tcPr>
          <w:p w:rsidR="00BB13A4" w:rsidRPr="00CE1BE2" w:rsidRDefault="00BB13A4" w:rsidP="00B15D2C">
            <w:pPr>
              <w:pStyle w:val="TAL"/>
            </w:pPr>
          </w:p>
        </w:tc>
      </w:tr>
      <w:tr w:rsidR="00BB13A4" w:rsidRPr="00CE1BE2" w:rsidTr="00B15D2C">
        <w:trPr>
          <w:jc w:val="center"/>
        </w:trPr>
        <w:tc>
          <w:tcPr>
            <w:tcW w:w="1099" w:type="dxa"/>
            <w:shd w:val="clear" w:color="auto" w:fill="auto"/>
            <w:vAlign w:val="center"/>
          </w:tcPr>
          <w:p w:rsidR="00BB13A4" w:rsidRPr="00CE1BE2" w:rsidRDefault="00BB13A4" w:rsidP="00B15D2C">
            <w:pPr>
              <w:pStyle w:val="TAL"/>
            </w:pPr>
          </w:p>
        </w:tc>
        <w:tc>
          <w:tcPr>
            <w:tcW w:w="2411" w:type="dxa"/>
            <w:shd w:val="clear" w:color="auto" w:fill="auto"/>
            <w:vAlign w:val="center"/>
          </w:tcPr>
          <w:p w:rsidR="00BB13A4" w:rsidRPr="00CE1BE2" w:rsidRDefault="00BB13A4" w:rsidP="00B15D2C">
            <w:pPr>
              <w:pStyle w:val="TAL"/>
            </w:pPr>
          </w:p>
        </w:tc>
        <w:tc>
          <w:tcPr>
            <w:tcW w:w="1985" w:type="dxa"/>
            <w:shd w:val="clear" w:color="auto" w:fill="auto"/>
            <w:vAlign w:val="center"/>
          </w:tcPr>
          <w:p w:rsidR="00BB13A4" w:rsidRPr="00CE1BE2" w:rsidRDefault="00BB13A4" w:rsidP="00B15D2C">
            <w:pPr>
              <w:pStyle w:val="TAL"/>
            </w:pPr>
          </w:p>
        </w:tc>
        <w:tc>
          <w:tcPr>
            <w:tcW w:w="2977" w:type="dxa"/>
            <w:shd w:val="clear" w:color="auto" w:fill="auto"/>
            <w:vAlign w:val="center"/>
          </w:tcPr>
          <w:p w:rsidR="00BB13A4" w:rsidRPr="00CE1BE2" w:rsidRDefault="00BB13A4" w:rsidP="00B15D2C">
            <w:pPr>
              <w:pStyle w:val="TAL"/>
            </w:pPr>
          </w:p>
        </w:tc>
        <w:tc>
          <w:tcPr>
            <w:tcW w:w="1383" w:type="dxa"/>
            <w:shd w:val="clear" w:color="auto" w:fill="auto"/>
            <w:vAlign w:val="center"/>
          </w:tcPr>
          <w:p w:rsidR="00BB13A4" w:rsidRPr="00CE1BE2" w:rsidRDefault="00BB13A4" w:rsidP="00B15D2C">
            <w:pPr>
              <w:pStyle w:val="TAL"/>
            </w:pPr>
          </w:p>
        </w:tc>
      </w:tr>
      <w:tr w:rsidR="00BB13A4" w:rsidRPr="00CE1BE2" w:rsidTr="00B15D2C">
        <w:trPr>
          <w:jc w:val="center"/>
        </w:trPr>
        <w:tc>
          <w:tcPr>
            <w:tcW w:w="1099" w:type="dxa"/>
            <w:shd w:val="clear" w:color="auto" w:fill="auto"/>
            <w:vAlign w:val="center"/>
          </w:tcPr>
          <w:p w:rsidR="00BB13A4" w:rsidRPr="00CE1BE2" w:rsidRDefault="00BB13A4" w:rsidP="00B15D2C">
            <w:pPr>
              <w:pStyle w:val="TAL"/>
            </w:pPr>
          </w:p>
        </w:tc>
        <w:tc>
          <w:tcPr>
            <w:tcW w:w="2411" w:type="dxa"/>
            <w:shd w:val="clear" w:color="auto" w:fill="auto"/>
            <w:vAlign w:val="center"/>
          </w:tcPr>
          <w:p w:rsidR="00BB13A4" w:rsidRPr="00CE1BE2" w:rsidRDefault="00BB13A4" w:rsidP="00B15D2C">
            <w:pPr>
              <w:pStyle w:val="TAL"/>
            </w:pPr>
          </w:p>
        </w:tc>
        <w:tc>
          <w:tcPr>
            <w:tcW w:w="1985" w:type="dxa"/>
            <w:shd w:val="clear" w:color="auto" w:fill="auto"/>
            <w:vAlign w:val="center"/>
          </w:tcPr>
          <w:p w:rsidR="00BB13A4" w:rsidRPr="00CE1BE2" w:rsidRDefault="00BB13A4" w:rsidP="00B15D2C">
            <w:pPr>
              <w:pStyle w:val="TAL"/>
            </w:pPr>
          </w:p>
        </w:tc>
        <w:tc>
          <w:tcPr>
            <w:tcW w:w="2977" w:type="dxa"/>
            <w:shd w:val="clear" w:color="auto" w:fill="auto"/>
            <w:vAlign w:val="center"/>
          </w:tcPr>
          <w:p w:rsidR="00BB13A4" w:rsidRPr="00CE1BE2" w:rsidRDefault="00BB13A4" w:rsidP="00B15D2C">
            <w:pPr>
              <w:pStyle w:val="TAL"/>
            </w:pPr>
          </w:p>
        </w:tc>
        <w:tc>
          <w:tcPr>
            <w:tcW w:w="1383" w:type="dxa"/>
            <w:shd w:val="clear" w:color="auto" w:fill="auto"/>
            <w:vAlign w:val="center"/>
          </w:tcPr>
          <w:p w:rsidR="00BB13A4" w:rsidRPr="00CE1BE2" w:rsidRDefault="00BB13A4" w:rsidP="00B15D2C">
            <w:pPr>
              <w:pStyle w:val="TAL"/>
            </w:pPr>
          </w:p>
        </w:tc>
      </w:tr>
    </w:tbl>
    <w:p w:rsidR="00BB13A4" w:rsidRPr="00CE1BE2" w:rsidRDefault="00BB13A4" w:rsidP="00BB13A4"/>
    <w:p w:rsidR="00BB13A4" w:rsidRPr="00CE1BE2" w:rsidRDefault="00BB13A4" w:rsidP="00BB13A4">
      <w:pPr>
        <w:pStyle w:val="Heading2"/>
      </w:pPr>
      <w:bookmarkStart w:id="29" w:name="_Toc414543496"/>
      <w:bookmarkStart w:id="30" w:name="_Toc414607464"/>
      <w:bookmarkStart w:id="31" w:name="_Toc414607524"/>
      <w:r w:rsidRPr="00CE1BE2">
        <w:t>1.4</w:t>
      </w:r>
      <w:r w:rsidRPr="00CE1BE2">
        <w:tab/>
        <w:t>PoC Project Milestones</w:t>
      </w:r>
      <w:bookmarkEnd w:id="29"/>
      <w:bookmarkEnd w:id="30"/>
      <w:bookmarkEnd w:id="31"/>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993"/>
      </w:tblGrid>
      <w:tr w:rsidR="00BB13A4" w:rsidRPr="00CE1BE2" w:rsidTr="00B15D2C">
        <w:trPr>
          <w:jc w:val="center"/>
        </w:trPr>
        <w:tc>
          <w:tcPr>
            <w:tcW w:w="1396" w:type="dxa"/>
            <w:shd w:val="clear" w:color="auto" w:fill="D9D9D9"/>
            <w:vAlign w:val="center"/>
          </w:tcPr>
          <w:p w:rsidR="00BB13A4" w:rsidRPr="00CE1BE2" w:rsidRDefault="00BB13A4" w:rsidP="00B15D2C">
            <w:pPr>
              <w:pStyle w:val="TAH"/>
            </w:pPr>
            <w:r w:rsidRPr="00CE1BE2">
              <w:t>PoC Milestone</w:t>
            </w:r>
          </w:p>
        </w:tc>
        <w:tc>
          <w:tcPr>
            <w:tcW w:w="3514" w:type="dxa"/>
            <w:shd w:val="clear" w:color="auto" w:fill="D9D9D9"/>
            <w:vAlign w:val="center"/>
          </w:tcPr>
          <w:p w:rsidR="00BB13A4" w:rsidRPr="00CE1BE2" w:rsidRDefault="00BB13A4" w:rsidP="00B15D2C">
            <w:pPr>
              <w:pStyle w:val="TAH"/>
            </w:pPr>
            <w:r w:rsidRPr="00CE1BE2">
              <w:t>Milestone description</w:t>
            </w:r>
          </w:p>
        </w:tc>
        <w:tc>
          <w:tcPr>
            <w:tcW w:w="957" w:type="dxa"/>
            <w:shd w:val="clear" w:color="auto" w:fill="D9D9D9"/>
            <w:vAlign w:val="center"/>
          </w:tcPr>
          <w:p w:rsidR="00BB13A4" w:rsidRPr="00CE1BE2" w:rsidRDefault="00BB13A4" w:rsidP="00B15D2C">
            <w:pPr>
              <w:pStyle w:val="TAH"/>
            </w:pPr>
            <w:r w:rsidRPr="00CE1BE2">
              <w:t>Target Date</w:t>
            </w:r>
          </w:p>
        </w:tc>
        <w:tc>
          <w:tcPr>
            <w:tcW w:w="3993" w:type="dxa"/>
            <w:shd w:val="clear" w:color="auto" w:fill="D9D9D9"/>
            <w:vAlign w:val="center"/>
          </w:tcPr>
          <w:p w:rsidR="00BB13A4" w:rsidRPr="00CE1BE2" w:rsidRDefault="00BB13A4" w:rsidP="00B15D2C">
            <w:pPr>
              <w:pStyle w:val="TAH"/>
            </w:pPr>
            <w:r w:rsidRPr="00CE1BE2">
              <w:t>Additional Info</w:t>
            </w:r>
          </w:p>
        </w:tc>
      </w:tr>
      <w:tr w:rsidR="00BB13A4" w:rsidRPr="00CE1BE2" w:rsidTr="00B15D2C">
        <w:trPr>
          <w:jc w:val="center"/>
        </w:trPr>
        <w:tc>
          <w:tcPr>
            <w:tcW w:w="1396" w:type="dxa"/>
            <w:shd w:val="clear" w:color="auto" w:fill="auto"/>
            <w:vAlign w:val="center"/>
          </w:tcPr>
          <w:p w:rsidR="00BB13A4" w:rsidRPr="00CE1BE2" w:rsidRDefault="00BB13A4" w:rsidP="00B15D2C">
            <w:pPr>
              <w:pStyle w:val="TAL"/>
            </w:pPr>
            <w:r w:rsidRPr="00CE1BE2">
              <w:t>P.S</w:t>
            </w:r>
          </w:p>
        </w:tc>
        <w:tc>
          <w:tcPr>
            <w:tcW w:w="3514" w:type="dxa"/>
            <w:shd w:val="clear" w:color="auto" w:fill="auto"/>
            <w:vAlign w:val="center"/>
          </w:tcPr>
          <w:p w:rsidR="00BB13A4" w:rsidRPr="00CE1BE2" w:rsidRDefault="00BB13A4" w:rsidP="00B15D2C">
            <w:pPr>
              <w:pStyle w:val="TAL"/>
            </w:pPr>
            <w:r w:rsidRPr="00CE1BE2">
              <w:t>PoC Project Start</w:t>
            </w:r>
          </w:p>
        </w:tc>
        <w:tc>
          <w:tcPr>
            <w:tcW w:w="957" w:type="dxa"/>
            <w:shd w:val="clear" w:color="auto" w:fill="auto"/>
            <w:vAlign w:val="center"/>
          </w:tcPr>
          <w:p w:rsidR="00BB13A4" w:rsidRPr="00CE1BE2" w:rsidRDefault="00BB13A4" w:rsidP="00B15D2C">
            <w:pPr>
              <w:pStyle w:val="TAL"/>
            </w:pPr>
            <w:r>
              <w:t>01/07/16</w:t>
            </w:r>
          </w:p>
        </w:tc>
        <w:tc>
          <w:tcPr>
            <w:tcW w:w="3993" w:type="dxa"/>
            <w:shd w:val="clear" w:color="auto" w:fill="auto"/>
            <w:vAlign w:val="center"/>
          </w:tcPr>
          <w:p w:rsidR="00BB13A4" w:rsidRPr="00CE1BE2" w:rsidRDefault="00BB13A4" w:rsidP="00B15D2C">
            <w:pPr>
              <w:pStyle w:val="TAL"/>
            </w:pPr>
          </w:p>
        </w:tc>
      </w:tr>
      <w:tr w:rsidR="00BB13A4" w:rsidRPr="00CE1BE2" w:rsidTr="00B15D2C">
        <w:trPr>
          <w:jc w:val="center"/>
        </w:trPr>
        <w:tc>
          <w:tcPr>
            <w:tcW w:w="1396" w:type="dxa"/>
            <w:shd w:val="clear" w:color="auto" w:fill="auto"/>
            <w:vAlign w:val="center"/>
          </w:tcPr>
          <w:p w:rsidR="00BB13A4" w:rsidRPr="00CE1BE2" w:rsidRDefault="00BB13A4" w:rsidP="00B15D2C">
            <w:pPr>
              <w:pStyle w:val="TAL"/>
            </w:pPr>
            <w:r w:rsidRPr="00CE1BE2">
              <w:t>P.D1</w:t>
            </w:r>
          </w:p>
        </w:tc>
        <w:tc>
          <w:tcPr>
            <w:tcW w:w="3514" w:type="dxa"/>
            <w:shd w:val="clear" w:color="auto" w:fill="auto"/>
            <w:vAlign w:val="center"/>
          </w:tcPr>
          <w:p w:rsidR="00BB13A4" w:rsidRPr="00CE1BE2" w:rsidRDefault="00BB13A4" w:rsidP="00B15D2C">
            <w:pPr>
              <w:pStyle w:val="TAL"/>
            </w:pPr>
            <w:r>
              <w:t>PoC Demo</w:t>
            </w:r>
          </w:p>
        </w:tc>
        <w:tc>
          <w:tcPr>
            <w:tcW w:w="957" w:type="dxa"/>
            <w:shd w:val="clear" w:color="auto" w:fill="auto"/>
            <w:vAlign w:val="center"/>
          </w:tcPr>
          <w:p w:rsidR="00BB13A4" w:rsidRPr="00CE1BE2" w:rsidRDefault="00BB13A4" w:rsidP="00B15D2C">
            <w:pPr>
              <w:pStyle w:val="TAL"/>
            </w:pPr>
            <w:r>
              <w:t>20/09/16</w:t>
            </w:r>
          </w:p>
        </w:tc>
        <w:tc>
          <w:tcPr>
            <w:tcW w:w="3993" w:type="dxa"/>
            <w:shd w:val="clear" w:color="auto" w:fill="auto"/>
            <w:vAlign w:val="center"/>
          </w:tcPr>
          <w:p w:rsidR="00BB13A4" w:rsidRPr="00CE1BE2" w:rsidRDefault="00BB13A4" w:rsidP="00B15D2C">
            <w:pPr>
              <w:pStyle w:val="TAL"/>
            </w:pPr>
            <w:r>
              <w:t>MEC Congress, Munich</w:t>
            </w:r>
          </w:p>
        </w:tc>
      </w:tr>
      <w:tr w:rsidR="00BB13A4" w:rsidRPr="00CE1BE2" w:rsidTr="00B15D2C">
        <w:trPr>
          <w:jc w:val="center"/>
        </w:trPr>
        <w:tc>
          <w:tcPr>
            <w:tcW w:w="1396" w:type="dxa"/>
            <w:shd w:val="clear" w:color="auto" w:fill="auto"/>
            <w:vAlign w:val="center"/>
          </w:tcPr>
          <w:p w:rsidR="00BB13A4" w:rsidRPr="00CE1BE2" w:rsidRDefault="00BB13A4" w:rsidP="00B15D2C">
            <w:pPr>
              <w:pStyle w:val="TAL"/>
            </w:pPr>
            <w:r w:rsidRPr="00CE1BE2">
              <w:t>P.C1</w:t>
            </w:r>
          </w:p>
        </w:tc>
        <w:tc>
          <w:tcPr>
            <w:tcW w:w="3514" w:type="dxa"/>
            <w:shd w:val="clear" w:color="auto" w:fill="auto"/>
            <w:vAlign w:val="center"/>
          </w:tcPr>
          <w:p w:rsidR="00BB13A4" w:rsidRPr="00CE1BE2" w:rsidRDefault="00BB13A4" w:rsidP="00B15D2C">
            <w:pPr>
              <w:pStyle w:val="TAL"/>
            </w:pPr>
            <w:r w:rsidRPr="00CE1BE2">
              <w:t>PoC Expected Contribution 1</w:t>
            </w:r>
          </w:p>
        </w:tc>
        <w:tc>
          <w:tcPr>
            <w:tcW w:w="957" w:type="dxa"/>
            <w:shd w:val="clear" w:color="auto" w:fill="auto"/>
            <w:vAlign w:val="center"/>
          </w:tcPr>
          <w:p w:rsidR="00BB13A4" w:rsidRPr="00CE1BE2" w:rsidRDefault="00BB13A4" w:rsidP="00B15D2C">
            <w:pPr>
              <w:pStyle w:val="TAL"/>
            </w:pPr>
            <w:r>
              <w:t>30/11/16</w:t>
            </w:r>
          </w:p>
        </w:tc>
        <w:tc>
          <w:tcPr>
            <w:tcW w:w="3993" w:type="dxa"/>
            <w:shd w:val="clear" w:color="auto" w:fill="auto"/>
            <w:vAlign w:val="center"/>
          </w:tcPr>
          <w:p w:rsidR="00BB13A4" w:rsidRPr="00CE1BE2" w:rsidRDefault="001A75C8" w:rsidP="00B15D2C">
            <w:pPr>
              <w:pStyle w:val="TAL"/>
            </w:pPr>
            <w:r>
              <w:t>On MEC Service Scenarios</w:t>
            </w:r>
            <w:r w:rsidR="00280156">
              <w:t xml:space="preserve"> (PT01)</w:t>
            </w:r>
          </w:p>
        </w:tc>
      </w:tr>
      <w:tr w:rsidR="001A75C8" w:rsidRPr="00CE1BE2" w:rsidTr="00B15D2C">
        <w:trPr>
          <w:jc w:val="center"/>
        </w:trPr>
        <w:tc>
          <w:tcPr>
            <w:tcW w:w="1396" w:type="dxa"/>
            <w:shd w:val="clear" w:color="auto" w:fill="auto"/>
            <w:vAlign w:val="center"/>
          </w:tcPr>
          <w:p w:rsidR="001A75C8" w:rsidRPr="00CE1BE2" w:rsidRDefault="001A75C8" w:rsidP="001A75C8">
            <w:pPr>
              <w:pStyle w:val="TAL"/>
            </w:pPr>
            <w:r>
              <w:t>P.C2</w:t>
            </w:r>
          </w:p>
        </w:tc>
        <w:tc>
          <w:tcPr>
            <w:tcW w:w="3514" w:type="dxa"/>
            <w:shd w:val="clear" w:color="auto" w:fill="auto"/>
            <w:vAlign w:val="center"/>
          </w:tcPr>
          <w:p w:rsidR="001A75C8" w:rsidRPr="00CE1BE2" w:rsidRDefault="001A75C8" w:rsidP="001A75C8">
            <w:pPr>
              <w:pStyle w:val="TAL"/>
            </w:pPr>
            <w:r>
              <w:t>PoC Expected Contribution 2</w:t>
            </w:r>
          </w:p>
        </w:tc>
        <w:tc>
          <w:tcPr>
            <w:tcW w:w="957" w:type="dxa"/>
            <w:shd w:val="clear" w:color="auto" w:fill="auto"/>
            <w:vAlign w:val="center"/>
          </w:tcPr>
          <w:p w:rsidR="001A75C8" w:rsidRDefault="001A75C8" w:rsidP="001A75C8">
            <w:pPr>
              <w:pStyle w:val="TAL"/>
            </w:pPr>
            <w:r>
              <w:t>30/11/16</w:t>
            </w:r>
          </w:p>
        </w:tc>
        <w:tc>
          <w:tcPr>
            <w:tcW w:w="3993" w:type="dxa"/>
            <w:shd w:val="clear" w:color="auto" w:fill="auto"/>
            <w:vAlign w:val="center"/>
          </w:tcPr>
          <w:p w:rsidR="001A75C8" w:rsidRPr="00CE1BE2" w:rsidRDefault="001A75C8" w:rsidP="001A75C8">
            <w:pPr>
              <w:pStyle w:val="TAL"/>
            </w:pPr>
            <w:r>
              <w:t>On MEC Architecture</w:t>
            </w:r>
            <w:r w:rsidR="00280156">
              <w:t xml:space="preserve"> (PT03)</w:t>
            </w:r>
          </w:p>
        </w:tc>
      </w:tr>
      <w:tr w:rsidR="001A75C8" w:rsidRPr="00CE1BE2" w:rsidTr="00B15D2C">
        <w:trPr>
          <w:jc w:val="center"/>
        </w:trPr>
        <w:tc>
          <w:tcPr>
            <w:tcW w:w="1396" w:type="dxa"/>
            <w:shd w:val="clear" w:color="auto" w:fill="auto"/>
            <w:vAlign w:val="center"/>
          </w:tcPr>
          <w:p w:rsidR="001A75C8" w:rsidRPr="00CE1BE2" w:rsidRDefault="001A75C8" w:rsidP="001A75C8">
            <w:pPr>
              <w:pStyle w:val="TAL"/>
            </w:pPr>
            <w:r w:rsidRPr="00CE1BE2">
              <w:t>P.R</w:t>
            </w:r>
          </w:p>
        </w:tc>
        <w:tc>
          <w:tcPr>
            <w:tcW w:w="3514" w:type="dxa"/>
            <w:shd w:val="clear" w:color="auto" w:fill="auto"/>
            <w:vAlign w:val="center"/>
          </w:tcPr>
          <w:p w:rsidR="001A75C8" w:rsidRPr="00CE1BE2" w:rsidRDefault="001A75C8" w:rsidP="001A75C8">
            <w:pPr>
              <w:pStyle w:val="TAL"/>
            </w:pPr>
            <w:r w:rsidRPr="00CE1BE2">
              <w:t>PoC Report</w:t>
            </w:r>
          </w:p>
        </w:tc>
        <w:tc>
          <w:tcPr>
            <w:tcW w:w="957" w:type="dxa"/>
            <w:shd w:val="clear" w:color="auto" w:fill="auto"/>
            <w:vAlign w:val="center"/>
          </w:tcPr>
          <w:p w:rsidR="001A75C8" w:rsidRPr="00CE1BE2" w:rsidRDefault="001A75C8" w:rsidP="001A75C8">
            <w:pPr>
              <w:pStyle w:val="TAL"/>
            </w:pPr>
            <w:r>
              <w:t>31/12/16</w:t>
            </w:r>
          </w:p>
        </w:tc>
        <w:tc>
          <w:tcPr>
            <w:tcW w:w="3993" w:type="dxa"/>
            <w:shd w:val="clear" w:color="auto" w:fill="auto"/>
            <w:vAlign w:val="center"/>
          </w:tcPr>
          <w:p w:rsidR="001A75C8" w:rsidRPr="00CE1BE2" w:rsidRDefault="001A75C8" w:rsidP="001A75C8">
            <w:pPr>
              <w:pStyle w:val="TAL"/>
            </w:pPr>
          </w:p>
        </w:tc>
      </w:tr>
      <w:tr w:rsidR="001A75C8" w:rsidRPr="00CE1BE2" w:rsidTr="00B15D2C">
        <w:trPr>
          <w:jc w:val="center"/>
        </w:trPr>
        <w:tc>
          <w:tcPr>
            <w:tcW w:w="1396" w:type="dxa"/>
            <w:shd w:val="clear" w:color="auto" w:fill="auto"/>
            <w:vAlign w:val="center"/>
          </w:tcPr>
          <w:p w:rsidR="001A75C8" w:rsidRPr="00CE1BE2" w:rsidRDefault="001A75C8" w:rsidP="001A75C8">
            <w:pPr>
              <w:pStyle w:val="TAL"/>
            </w:pPr>
            <w:r w:rsidRPr="00CE1BE2">
              <w:t>P.E</w:t>
            </w:r>
          </w:p>
        </w:tc>
        <w:tc>
          <w:tcPr>
            <w:tcW w:w="3514" w:type="dxa"/>
            <w:shd w:val="clear" w:color="auto" w:fill="auto"/>
            <w:vAlign w:val="center"/>
          </w:tcPr>
          <w:p w:rsidR="001A75C8" w:rsidRPr="00CE1BE2" w:rsidRDefault="001A75C8" w:rsidP="001A75C8">
            <w:pPr>
              <w:pStyle w:val="TAL"/>
            </w:pPr>
            <w:r w:rsidRPr="00CE1BE2">
              <w:t>PoC Project End</w:t>
            </w:r>
          </w:p>
        </w:tc>
        <w:tc>
          <w:tcPr>
            <w:tcW w:w="957" w:type="dxa"/>
            <w:shd w:val="clear" w:color="auto" w:fill="auto"/>
            <w:vAlign w:val="center"/>
          </w:tcPr>
          <w:p w:rsidR="001A75C8" w:rsidRPr="00CE1BE2" w:rsidRDefault="001A75C8" w:rsidP="001A75C8">
            <w:pPr>
              <w:pStyle w:val="TAL"/>
            </w:pPr>
            <w:r>
              <w:t>31/12/16</w:t>
            </w:r>
          </w:p>
        </w:tc>
        <w:tc>
          <w:tcPr>
            <w:tcW w:w="3993" w:type="dxa"/>
            <w:shd w:val="clear" w:color="auto" w:fill="auto"/>
            <w:vAlign w:val="center"/>
          </w:tcPr>
          <w:p w:rsidR="001A75C8" w:rsidRPr="00CE1BE2" w:rsidRDefault="001A75C8" w:rsidP="001A75C8">
            <w:pPr>
              <w:pStyle w:val="TAL"/>
            </w:pPr>
          </w:p>
        </w:tc>
      </w:tr>
    </w:tbl>
    <w:p w:rsidR="00BB13A4" w:rsidRPr="00CE1BE2" w:rsidRDefault="00BB13A4" w:rsidP="00BB13A4"/>
    <w:p w:rsidR="00BB13A4" w:rsidRPr="00CE1BE2" w:rsidRDefault="00BB13A4" w:rsidP="00BB13A4">
      <w:r w:rsidRPr="00CE1BE2">
        <w:t>NOTE:</w:t>
      </w:r>
      <w:r w:rsidRPr="00CE1BE2">
        <w:tab/>
        <w:t>Milestones need to be entered in chronological order.</w:t>
      </w:r>
    </w:p>
    <w:p w:rsidR="00BB13A4" w:rsidRPr="00CE1BE2" w:rsidRDefault="00BB13A4" w:rsidP="00BB13A4">
      <w:pPr>
        <w:pStyle w:val="Heading2"/>
      </w:pPr>
      <w:bookmarkStart w:id="32" w:name="_Toc414543497"/>
      <w:bookmarkStart w:id="33" w:name="_Toc414607465"/>
      <w:bookmarkStart w:id="34" w:name="_Toc414607525"/>
      <w:r w:rsidRPr="00CE1BE2">
        <w:lastRenderedPageBreak/>
        <w:t>1.5</w:t>
      </w:r>
      <w:r w:rsidRPr="00CE1BE2">
        <w:tab/>
        <w:t>Additional Details</w:t>
      </w:r>
      <w:bookmarkEnd w:id="32"/>
      <w:bookmarkEnd w:id="33"/>
      <w:bookmarkEnd w:id="34"/>
    </w:p>
    <w:p w:rsidR="00BB13A4" w:rsidRPr="00CE1BE2" w:rsidRDefault="00BB13A4" w:rsidP="00BB13A4">
      <w:r>
        <w:t>POC show-cased at MEC Congress 2016.</w:t>
      </w:r>
    </w:p>
    <w:p w:rsidR="00BB13A4" w:rsidRPr="00CE1BE2" w:rsidRDefault="00BB13A4" w:rsidP="00BB13A4">
      <w:pPr>
        <w:pStyle w:val="Heading1"/>
      </w:pPr>
      <w:bookmarkStart w:id="35" w:name="_Toc414543498"/>
      <w:bookmarkStart w:id="36" w:name="_Toc414607466"/>
      <w:bookmarkStart w:id="37" w:name="_Toc414607526"/>
      <w:r w:rsidRPr="00CE1BE2">
        <w:t>2</w:t>
      </w:r>
      <w:r w:rsidRPr="00CE1BE2">
        <w:tab/>
        <w:t>PoC Technical Details</w:t>
      </w:r>
      <w:bookmarkEnd w:id="35"/>
      <w:bookmarkEnd w:id="36"/>
      <w:bookmarkEnd w:id="37"/>
    </w:p>
    <w:p w:rsidR="00BB13A4" w:rsidRPr="00CE1BE2" w:rsidRDefault="00BB13A4" w:rsidP="00BB13A4">
      <w:pPr>
        <w:pStyle w:val="Heading2"/>
      </w:pPr>
      <w:bookmarkStart w:id="38" w:name="_Toc414543499"/>
      <w:bookmarkStart w:id="39" w:name="_Toc414607467"/>
      <w:bookmarkStart w:id="40" w:name="_Toc414607527"/>
      <w:r w:rsidRPr="00CE1BE2">
        <w:t>2.1</w:t>
      </w:r>
      <w:r w:rsidRPr="00CE1BE2">
        <w:tab/>
        <w:t>PoC Overview</w:t>
      </w:r>
      <w:bookmarkEnd w:id="38"/>
      <w:bookmarkEnd w:id="39"/>
      <w:bookmarkEnd w:id="40"/>
    </w:p>
    <w:p w:rsidR="00BB13A4" w:rsidRDefault="00BB13A4" w:rsidP="00BB13A4">
      <w:r>
        <w:t xml:space="preserve">MEC offers the ability to grant cellular users access to local Voice and Data services and integrate </w:t>
      </w:r>
      <w:proofErr w:type="spellStart"/>
      <w:r>
        <w:t>IoT</w:t>
      </w:r>
      <w:proofErr w:type="spellEnd"/>
      <w:r>
        <w:t xml:space="preserve"> devices into the local cellular network. Quortus has developed managed local IP breakout and PBX / VoLTE integration capabilities for MEC. </w:t>
      </w:r>
      <w:proofErr w:type="spellStart"/>
      <w:r>
        <w:t>Argela</w:t>
      </w:r>
      <w:proofErr w:type="spellEnd"/>
      <w:r>
        <w:t xml:space="preserve"> have developed Network Slicing based Radio Resource Management which can provide an enterprise with local control of LTE resources/bandwidth.</w:t>
      </w:r>
    </w:p>
    <w:p w:rsidR="00BB13A4" w:rsidRDefault="00BB13A4" w:rsidP="00BB13A4">
      <w:r>
        <w:t xml:space="preserve">MEC can provide significant benefits in deployments in Hospitals where there are a mix of users (e.g. Medical Staff, Service Staff, Patients, Visitors, </w:t>
      </w:r>
      <w:proofErr w:type="spellStart"/>
      <w:r>
        <w:t>IoT</w:t>
      </w:r>
      <w:proofErr w:type="spellEnd"/>
      <w:r>
        <w:t xml:space="preserve">, </w:t>
      </w:r>
      <w:proofErr w:type="spellStart"/>
      <w:r>
        <w:t>etc</w:t>
      </w:r>
      <w:proofErr w:type="spellEnd"/>
      <w:r>
        <w:t>) requiring different levels of access to local infrastructure. Their access needs change as, for example, people come in and register as patients, and access priority changes as the hospital adopts ‘alert’ status. In this case, hospitals cannot rely on the MNO to manage access and ideally require integration with their local patient management and alert status systems.</w:t>
      </w:r>
    </w:p>
    <w:p w:rsidR="00BB13A4" w:rsidRDefault="00BB13A4" w:rsidP="00BB13A4">
      <w:r>
        <w:t>This POC considers a typical ‘Healthcare’ use-case where a Hospital is able to assign a cellular access hierarchy (using network slicing) and open access (at the edge) to local systems depending on managed access rights. It also demonstrates dynamic network slicing based on Hospital ‘alert’ status.</w:t>
      </w:r>
    </w:p>
    <w:p w:rsidR="00BB13A4" w:rsidRDefault="00BB13A4" w:rsidP="00BB13A4">
      <w:r>
        <w:t>The POC demonstrates the following:</w:t>
      </w:r>
    </w:p>
    <w:p w:rsidR="00BB13A4" w:rsidRPr="00AE2423" w:rsidRDefault="00BB13A4" w:rsidP="00BB13A4">
      <w:pPr>
        <w:numPr>
          <w:ilvl w:val="0"/>
          <w:numId w:val="18"/>
        </w:numPr>
        <w:spacing w:after="180"/>
      </w:pPr>
      <w:r w:rsidRPr="00AE2423">
        <w:t>Local voice and data breakout services</w:t>
      </w:r>
    </w:p>
    <w:p w:rsidR="00BB13A4" w:rsidRPr="00AE2423" w:rsidRDefault="00BB13A4" w:rsidP="00BB13A4">
      <w:pPr>
        <w:numPr>
          <w:ilvl w:val="0"/>
          <w:numId w:val="18"/>
        </w:numPr>
        <w:spacing w:after="180"/>
      </w:pPr>
      <w:r w:rsidRPr="00AE2423">
        <w:t>Different radio resource slices for different categories of user</w:t>
      </w:r>
    </w:p>
    <w:p w:rsidR="00BB13A4" w:rsidRPr="00AE2423" w:rsidRDefault="00BB13A4" w:rsidP="00BB13A4">
      <w:pPr>
        <w:numPr>
          <w:ilvl w:val="0"/>
          <w:numId w:val="18"/>
        </w:numPr>
        <w:spacing w:after="180"/>
      </w:pPr>
      <w:r w:rsidRPr="00AE2423">
        <w:t xml:space="preserve">Dynamic </w:t>
      </w:r>
      <w:r>
        <w:t xml:space="preserve">hospital manged </w:t>
      </w:r>
      <w:r w:rsidRPr="00AE2423">
        <w:t>upgrading of users between categories</w:t>
      </w:r>
    </w:p>
    <w:p w:rsidR="00BB13A4" w:rsidRDefault="00BB13A4" w:rsidP="00BB13A4">
      <w:pPr>
        <w:numPr>
          <w:ilvl w:val="0"/>
          <w:numId w:val="18"/>
        </w:numPr>
        <w:spacing w:after="180"/>
      </w:pPr>
      <w:r w:rsidRPr="00AE2423">
        <w:t>Dynamic response to critical incident with modifications to radio resource allocations</w:t>
      </w:r>
    </w:p>
    <w:p w:rsidR="00BB13A4" w:rsidRDefault="00BB13A4" w:rsidP="00BB13A4"/>
    <w:p w:rsidR="00BB13A4" w:rsidRDefault="00BB13A4" w:rsidP="00BB13A4">
      <w:r>
        <w:t>Example use-cases for each user category are as follows:</w:t>
      </w:r>
    </w:p>
    <w:p w:rsidR="00BB13A4" w:rsidRPr="008B5999" w:rsidRDefault="00BB13A4" w:rsidP="00BB13A4">
      <w:pPr>
        <w:numPr>
          <w:ilvl w:val="0"/>
          <w:numId w:val="19"/>
        </w:numPr>
        <w:spacing w:after="180"/>
      </w:pPr>
      <w:r w:rsidRPr="008B5999">
        <w:t>Staff</w:t>
      </w:r>
    </w:p>
    <w:p w:rsidR="00BB13A4" w:rsidRPr="008B5999" w:rsidRDefault="00BB13A4" w:rsidP="00BB13A4">
      <w:pPr>
        <w:numPr>
          <w:ilvl w:val="1"/>
          <w:numId w:val="19"/>
        </w:numPr>
        <w:spacing w:after="180"/>
      </w:pPr>
      <w:r w:rsidRPr="008B5999">
        <w:t>Best service and guaranteed radio resources</w:t>
      </w:r>
    </w:p>
    <w:p w:rsidR="00BB13A4" w:rsidRPr="008B5999" w:rsidRDefault="00BB13A4" w:rsidP="00BB13A4">
      <w:pPr>
        <w:numPr>
          <w:ilvl w:val="1"/>
          <w:numId w:val="19"/>
        </w:numPr>
        <w:spacing w:after="180"/>
      </w:pPr>
      <w:r w:rsidRPr="008B5999">
        <w:t>VoLTE support – integrated with PBX</w:t>
      </w:r>
    </w:p>
    <w:p w:rsidR="00BB13A4" w:rsidRPr="008B5999" w:rsidRDefault="00BB13A4" w:rsidP="00BB13A4">
      <w:pPr>
        <w:numPr>
          <w:ilvl w:val="1"/>
          <w:numId w:val="19"/>
        </w:numPr>
        <w:spacing w:after="180"/>
      </w:pPr>
      <w:r w:rsidRPr="008B5999">
        <w:t>Local data breakout – integrated with locally hosted services</w:t>
      </w:r>
    </w:p>
    <w:p w:rsidR="00BB13A4" w:rsidRDefault="00BB13A4" w:rsidP="00BB13A4">
      <w:pPr>
        <w:numPr>
          <w:ilvl w:val="1"/>
          <w:numId w:val="19"/>
        </w:numPr>
        <w:spacing w:after="180"/>
      </w:pPr>
      <w:r w:rsidRPr="008B5999">
        <w:t>High bandwidth M2M video calls supported</w:t>
      </w:r>
    </w:p>
    <w:p w:rsidR="00BB13A4" w:rsidRPr="008B5999" w:rsidRDefault="00BB13A4" w:rsidP="00BB13A4">
      <w:pPr>
        <w:numPr>
          <w:ilvl w:val="0"/>
          <w:numId w:val="19"/>
        </w:numPr>
        <w:spacing w:after="180"/>
      </w:pPr>
      <w:r w:rsidRPr="008B5999">
        <w:t>Public</w:t>
      </w:r>
    </w:p>
    <w:p w:rsidR="00BB13A4" w:rsidRPr="008B5999" w:rsidRDefault="00BB13A4" w:rsidP="00BB13A4">
      <w:pPr>
        <w:numPr>
          <w:ilvl w:val="1"/>
          <w:numId w:val="19"/>
        </w:numPr>
        <w:spacing w:after="180"/>
      </w:pPr>
      <w:r w:rsidRPr="008B5999">
        <w:t>Basic cellular services – RAN extension for the MNO(s)</w:t>
      </w:r>
    </w:p>
    <w:p w:rsidR="00BB13A4" w:rsidRPr="008B5999" w:rsidRDefault="00BB13A4" w:rsidP="00BB13A4">
      <w:pPr>
        <w:numPr>
          <w:ilvl w:val="1"/>
          <w:numId w:val="19"/>
        </w:numPr>
        <w:spacing w:after="180"/>
      </w:pPr>
      <w:r w:rsidRPr="008B5999">
        <w:t>Low priority resource allocation – sacrificed if higher priority users require the bandwidth or in case of major incident</w:t>
      </w:r>
    </w:p>
    <w:p w:rsidR="00BB13A4" w:rsidRPr="008B5999" w:rsidRDefault="00BB13A4" w:rsidP="00BB13A4">
      <w:pPr>
        <w:numPr>
          <w:ilvl w:val="0"/>
          <w:numId w:val="19"/>
        </w:numPr>
        <w:spacing w:after="180"/>
      </w:pPr>
      <w:r w:rsidRPr="008B5999">
        <w:t>Patient</w:t>
      </w:r>
    </w:p>
    <w:p w:rsidR="00BB13A4" w:rsidRPr="008B5999" w:rsidRDefault="00BB13A4" w:rsidP="00BB13A4">
      <w:pPr>
        <w:numPr>
          <w:ilvl w:val="1"/>
          <w:numId w:val="19"/>
        </w:numPr>
        <w:spacing w:after="180"/>
      </w:pPr>
      <w:r w:rsidRPr="008B5999">
        <w:t>Dynamically upgradable from public user – via token from reception and access portal</w:t>
      </w:r>
    </w:p>
    <w:p w:rsidR="00BB13A4" w:rsidRPr="008B5999" w:rsidRDefault="00BB13A4" w:rsidP="00BB13A4">
      <w:pPr>
        <w:numPr>
          <w:ilvl w:val="1"/>
          <w:numId w:val="19"/>
        </w:numPr>
        <w:spacing w:after="180"/>
      </w:pPr>
      <w:r w:rsidRPr="008B5999">
        <w:t>Returned to public access after timeout of access token</w:t>
      </w:r>
    </w:p>
    <w:p w:rsidR="00BB13A4" w:rsidRDefault="00BB13A4" w:rsidP="00BB13A4">
      <w:pPr>
        <w:numPr>
          <w:ilvl w:val="1"/>
          <w:numId w:val="19"/>
        </w:numPr>
        <w:spacing w:after="180"/>
      </w:pPr>
      <w:r w:rsidRPr="008B5999">
        <w:t>Higher priority than basic public user for resource allocation</w:t>
      </w:r>
    </w:p>
    <w:p w:rsidR="00BB13A4" w:rsidRPr="008B5999" w:rsidRDefault="00BB13A4" w:rsidP="00BB13A4">
      <w:pPr>
        <w:numPr>
          <w:ilvl w:val="1"/>
          <w:numId w:val="19"/>
        </w:numPr>
        <w:spacing w:after="180"/>
      </w:pPr>
      <w:r w:rsidRPr="008B5999">
        <w:t>Local PBX integration for in building calling (mobile handset becomes guest PBX extension)</w:t>
      </w:r>
    </w:p>
    <w:p w:rsidR="00BB13A4" w:rsidRDefault="00BB13A4" w:rsidP="00BB13A4">
      <w:pPr>
        <w:numPr>
          <w:ilvl w:val="1"/>
          <w:numId w:val="19"/>
        </w:numPr>
        <w:spacing w:after="180"/>
      </w:pPr>
      <w:r w:rsidRPr="008B5999">
        <w:t>Local data breakout for local services (e.g. CDN for films, appointment planning or information notice services)</w:t>
      </w:r>
    </w:p>
    <w:p w:rsidR="00BB13A4" w:rsidRPr="008B5999" w:rsidRDefault="00BB13A4" w:rsidP="00BB13A4">
      <w:pPr>
        <w:numPr>
          <w:ilvl w:val="0"/>
          <w:numId w:val="19"/>
        </w:numPr>
        <w:spacing w:after="180"/>
      </w:pPr>
      <w:r w:rsidRPr="008B5999">
        <w:t xml:space="preserve">Critical </w:t>
      </w:r>
      <w:proofErr w:type="spellStart"/>
      <w:r w:rsidRPr="008B5999">
        <w:t>IoT</w:t>
      </w:r>
      <w:proofErr w:type="spellEnd"/>
      <w:r w:rsidRPr="008B5999">
        <w:t xml:space="preserve"> </w:t>
      </w:r>
    </w:p>
    <w:p w:rsidR="00BB13A4" w:rsidRPr="008B5999" w:rsidRDefault="00BB13A4" w:rsidP="00BB13A4">
      <w:pPr>
        <w:numPr>
          <w:ilvl w:val="1"/>
          <w:numId w:val="19"/>
        </w:numPr>
        <w:spacing w:after="180"/>
      </w:pPr>
      <w:r w:rsidRPr="008B5999">
        <w:t>High priority radio resources</w:t>
      </w:r>
    </w:p>
    <w:p w:rsidR="00BB13A4" w:rsidRPr="008B5999" w:rsidRDefault="00BB13A4" w:rsidP="00BB13A4">
      <w:pPr>
        <w:numPr>
          <w:ilvl w:val="1"/>
          <w:numId w:val="19"/>
        </w:numPr>
        <w:spacing w:after="180"/>
      </w:pPr>
      <w:r w:rsidRPr="008B5999">
        <w:lastRenderedPageBreak/>
        <w:t>Local breakout and M2M traffic flows to offload core network</w:t>
      </w:r>
    </w:p>
    <w:p w:rsidR="00BB13A4" w:rsidRPr="008B5999" w:rsidRDefault="00BB13A4" w:rsidP="00BB13A4">
      <w:pPr>
        <w:numPr>
          <w:ilvl w:val="0"/>
          <w:numId w:val="19"/>
        </w:numPr>
        <w:spacing w:after="180"/>
      </w:pPr>
      <w:r w:rsidRPr="008B5999">
        <w:t xml:space="preserve">Low priority </w:t>
      </w:r>
      <w:proofErr w:type="spellStart"/>
      <w:r w:rsidRPr="008B5999">
        <w:t>IoT</w:t>
      </w:r>
      <w:proofErr w:type="spellEnd"/>
    </w:p>
    <w:p w:rsidR="00BB13A4" w:rsidRPr="008B5999" w:rsidRDefault="00BB13A4" w:rsidP="00BB13A4">
      <w:pPr>
        <w:numPr>
          <w:ilvl w:val="1"/>
          <w:numId w:val="19"/>
        </w:numPr>
        <w:spacing w:after="180"/>
      </w:pPr>
      <w:r w:rsidRPr="008B5999">
        <w:t>Lower priority radio resources</w:t>
      </w:r>
    </w:p>
    <w:p w:rsidR="00BB13A4" w:rsidRPr="008B5999" w:rsidRDefault="00BB13A4" w:rsidP="00BB13A4">
      <w:pPr>
        <w:numPr>
          <w:ilvl w:val="1"/>
          <w:numId w:val="19"/>
        </w:numPr>
        <w:spacing w:after="180"/>
      </w:pPr>
      <w:r w:rsidRPr="008B5999">
        <w:t>Sacrificed during major incident or overload situations</w:t>
      </w:r>
    </w:p>
    <w:p w:rsidR="00BB13A4" w:rsidRDefault="00BB13A4" w:rsidP="00BB13A4">
      <w:pPr>
        <w:numPr>
          <w:ilvl w:val="1"/>
          <w:numId w:val="19"/>
        </w:numPr>
        <w:spacing w:after="180"/>
      </w:pPr>
      <w:r w:rsidRPr="008B5999">
        <w:t>Local data breakout to offload core network.</w:t>
      </w:r>
    </w:p>
    <w:p w:rsidR="00BB13A4" w:rsidRDefault="00BB13A4" w:rsidP="00BB13A4"/>
    <w:p w:rsidR="00BB13A4" w:rsidRDefault="00BB13A4" w:rsidP="00BB13A4">
      <w:r>
        <w:br w:type="page"/>
      </w:r>
      <w:r>
        <w:lastRenderedPageBreak/>
        <w:t>Access to MNO and Local Services will be managed per user category as follows:</w:t>
      </w:r>
    </w:p>
    <w:p w:rsidR="00BB13A4" w:rsidRDefault="00BB13A4" w:rsidP="00BB13A4">
      <w:r>
        <w:rPr>
          <w:noProof/>
          <w:lang w:eastAsia="en-GB"/>
        </w:rPr>
        <w:drawing>
          <wp:inline distT="0" distB="0" distL="0" distR="0">
            <wp:extent cx="4011295" cy="144335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295" cy="1443355"/>
                    </a:xfrm>
                    <a:prstGeom prst="rect">
                      <a:avLst/>
                    </a:prstGeom>
                    <a:noFill/>
                  </pic:spPr>
                </pic:pic>
              </a:graphicData>
            </a:graphic>
          </wp:inline>
        </w:drawing>
      </w:r>
    </w:p>
    <w:p w:rsidR="00BB13A4" w:rsidRPr="008B5999" w:rsidRDefault="00BB13A4" w:rsidP="00BB13A4">
      <w:pPr>
        <w:rPr>
          <w:sz w:val="18"/>
          <w:szCs w:val="18"/>
        </w:rPr>
      </w:pPr>
      <w:r w:rsidRPr="008B5999">
        <w:rPr>
          <w:sz w:val="18"/>
          <w:szCs w:val="18"/>
        </w:rPr>
        <w:t>*Internet access denied to/from for security reasons</w:t>
      </w:r>
    </w:p>
    <w:p w:rsidR="00BB13A4" w:rsidRDefault="00BB13A4" w:rsidP="00BB13A4"/>
    <w:p w:rsidR="00BB13A4" w:rsidRDefault="00BB13A4" w:rsidP="00BB13A4"/>
    <w:p w:rsidR="00BB13A4" w:rsidRDefault="00BB13A4" w:rsidP="00BB13A4">
      <w:r>
        <w:t>Three levels of ‘Alert’ status will be demonstrated as follows:</w:t>
      </w:r>
    </w:p>
    <w:p w:rsidR="00BB13A4" w:rsidRDefault="00BB13A4" w:rsidP="00BB13A4">
      <w:r>
        <w:rPr>
          <w:noProof/>
          <w:lang w:eastAsia="en-GB"/>
        </w:rPr>
        <w:drawing>
          <wp:inline distT="0" distB="0" distL="0" distR="0">
            <wp:extent cx="4028440" cy="1332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8440" cy="1332230"/>
                    </a:xfrm>
                    <a:prstGeom prst="rect">
                      <a:avLst/>
                    </a:prstGeom>
                    <a:noFill/>
                  </pic:spPr>
                </pic:pic>
              </a:graphicData>
            </a:graphic>
          </wp:inline>
        </w:drawing>
      </w:r>
    </w:p>
    <w:p w:rsidR="00BB13A4" w:rsidRDefault="00BB13A4" w:rsidP="00BB13A4"/>
    <w:p w:rsidR="00BB13A4" w:rsidRPr="00CE1BE2" w:rsidRDefault="00BB13A4" w:rsidP="00BB13A4"/>
    <w:p w:rsidR="00BB13A4" w:rsidRPr="00CE1BE2" w:rsidRDefault="00BB13A4" w:rsidP="00BB13A4">
      <w:pPr>
        <w:pStyle w:val="Heading2"/>
      </w:pPr>
      <w:bookmarkStart w:id="41" w:name="_Toc414543500"/>
      <w:bookmarkStart w:id="42" w:name="_Toc414607468"/>
      <w:bookmarkStart w:id="43" w:name="_Toc414607528"/>
      <w:r w:rsidRPr="00CE1BE2">
        <w:lastRenderedPageBreak/>
        <w:t>2.2</w:t>
      </w:r>
      <w:r w:rsidRPr="00CE1BE2">
        <w:tab/>
        <w:t>PoC Architecture</w:t>
      </w:r>
      <w:bookmarkEnd w:id="41"/>
      <w:bookmarkEnd w:id="42"/>
      <w:bookmarkEnd w:id="43"/>
    </w:p>
    <w:p w:rsidR="00BB13A4" w:rsidRDefault="00BB13A4" w:rsidP="00BB13A4">
      <w:pPr>
        <w:pStyle w:val="Heading2"/>
      </w:pPr>
      <w:bookmarkStart w:id="44" w:name="_Toc414543501"/>
      <w:bookmarkStart w:id="45" w:name="_Toc414607469"/>
      <w:bookmarkStart w:id="46" w:name="_Toc414607529"/>
      <w:r>
        <w:rPr>
          <w:noProof/>
          <w:lang w:eastAsia="en-GB"/>
        </w:rPr>
        <w:drawing>
          <wp:inline distT="0" distB="0" distL="0" distR="0">
            <wp:extent cx="4078605" cy="4377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8605" cy="4377055"/>
                    </a:xfrm>
                    <a:prstGeom prst="rect">
                      <a:avLst/>
                    </a:prstGeom>
                    <a:noFill/>
                  </pic:spPr>
                </pic:pic>
              </a:graphicData>
            </a:graphic>
          </wp:inline>
        </w:drawing>
      </w:r>
    </w:p>
    <w:p w:rsidR="00BB13A4" w:rsidRDefault="00BB13A4" w:rsidP="00BB13A4">
      <w:pPr>
        <w:pStyle w:val="Heading2"/>
      </w:pPr>
    </w:p>
    <w:p w:rsidR="00BB13A4" w:rsidRDefault="00BB13A4" w:rsidP="00BB13A4">
      <w:pPr>
        <w:pStyle w:val="Heading2"/>
      </w:pPr>
    </w:p>
    <w:p w:rsidR="00BB13A4" w:rsidRPr="00CE1BE2" w:rsidRDefault="00BB13A4" w:rsidP="00BB13A4">
      <w:pPr>
        <w:pStyle w:val="Heading2"/>
      </w:pPr>
      <w:r w:rsidRPr="00CE1BE2">
        <w:t>2.3</w:t>
      </w:r>
      <w:r w:rsidRPr="00CE1BE2">
        <w:tab/>
        <w:t>Additional information</w:t>
      </w:r>
      <w:bookmarkEnd w:id="44"/>
      <w:bookmarkEnd w:id="45"/>
      <w:bookmarkEnd w:id="46"/>
    </w:p>
    <w:p w:rsidR="00BB13A4" w:rsidRDefault="00BD10FE" w:rsidP="00BB13A4">
      <w:r>
        <w:t xml:space="preserve">This </w:t>
      </w:r>
      <w:proofErr w:type="spellStart"/>
      <w:r>
        <w:t>PoC</w:t>
      </w:r>
      <w:proofErr w:type="spellEnd"/>
      <w:r>
        <w:t xml:space="preserve">, and </w:t>
      </w:r>
      <w:proofErr w:type="gramStart"/>
      <w:r>
        <w:t>it</w:t>
      </w:r>
      <w:proofErr w:type="gramEnd"/>
      <w:r>
        <w:t>s ass</w:t>
      </w:r>
      <w:r w:rsidR="00F86884">
        <w:t>ociated report, will address any</w:t>
      </w:r>
      <w:r>
        <w:t xml:space="preserve"> benefits of</w:t>
      </w:r>
      <w:r w:rsidR="00F86884">
        <w:t xml:space="preserve"> a control plane aware MEC architecture over the current ETSI MEC user plane only approach.</w:t>
      </w:r>
      <w:bookmarkStart w:id="47" w:name="_GoBack"/>
      <w:bookmarkEnd w:id="47"/>
    </w:p>
    <w:p w:rsidR="004D1743" w:rsidRDefault="004D1743" w:rsidP="007833A7">
      <w:pPr>
        <w:rPr>
          <w:rFonts w:ascii="Arial" w:hAnsi="Arial" w:cs="Arial"/>
        </w:rPr>
      </w:pPr>
    </w:p>
    <w:p w:rsidR="002F5958" w:rsidRDefault="002F5958" w:rsidP="007833A7">
      <w:pPr>
        <w:rPr>
          <w:rFonts w:ascii="Arial" w:hAnsi="Arial" w:cs="Arial"/>
        </w:rPr>
      </w:pPr>
    </w:p>
    <w:p w:rsidR="005B115B" w:rsidRDefault="005B115B" w:rsidP="007833A7">
      <w:pPr>
        <w:rPr>
          <w:rFonts w:ascii="Arial" w:hAnsi="Arial" w:cs="Arial"/>
        </w:rPr>
      </w:pPr>
    </w:p>
    <w:p w:rsidR="005B115B" w:rsidRDefault="005B115B" w:rsidP="007833A7">
      <w:pPr>
        <w:rPr>
          <w:rFonts w:ascii="Arial" w:hAnsi="Arial" w:cs="Arial"/>
        </w:rPr>
      </w:pPr>
    </w:p>
    <w:sectPr w:rsidR="005B115B" w:rsidSect="00E24490">
      <w:headerReference w:type="default" r:id="rId11"/>
      <w:footerReference w:type="default" r:id="rId1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BC5" w:rsidRDefault="00B37BC5" w:rsidP="00D9435B">
      <w:r>
        <w:separator/>
      </w:r>
    </w:p>
  </w:endnote>
  <w:endnote w:type="continuationSeparator" w:id="0">
    <w:p w:rsidR="00B37BC5" w:rsidRDefault="00B37BC5"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DA20CB">
      <w:rPr>
        <w:rFonts w:ascii="Arial" w:hAnsi="Arial" w:cs="Arial"/>
        <w:noProof/>
      </w:rPr>
      <w:t>6</w:t>
    </w:r>
    <w:r w:rsidR="002D2E6B" w:rsidRPr="0083399D">
      <w:rPr>
        <w:rFonts w:ascii="Arial" w:hAnsi="Arial" w:cs="Arial"/>
      </w:rPr>
      <w:fldChar w:fldCharType="end"/>
    </w:r>
    <w:r w:rsidRPr="0083399D">
      <w:rPr>
        <w:rFonts w:ascii="Arial" w:hAnsi="Arial" w:cs="Arial"/>
      </w:rPr>
      <w:t>/</w:t>
    </w:r>
    <w:r w:rsidR="00B37BC5">
      <w:fldChar w:fldCharType="begin"/>
    </w:r>
    <w:r w:rsidR="00B37BC5">
      <w:instrText xml:space="preserve"> NUMPAGES   \* MERGEFORMAT </w:instrText>
    </w:r>
    <w:r w:rsidR="00B37BC5">
      <w:fldChar w:fldCharType="separate"/>
    </w:r>
    <w:r w:rsidR="00DA20CB" w:rsidRPr="00DA20CB">
      <w:rPr>
        <w:rFonts w:ascii="Arial" w:hAnsi="Arial" w:cs="Arial"/>
        <w:noProof/>
      </w:rPr>
      <w:t>6</w:t>
    </w:r>
    <w:r w:rsidR="00B37BC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BC5" w:rsidRDefault="00B37BC5" w:rsidP="00D9435B">
      <w:r>
        <w:separator/>
      </w:r>
    </w:p>
  </w:footnote>
  <w:footnote w:type="continuationSeparator" w:id="0">
    <w:p w:rsidR="00B37BC5" w:rsidRDefault="00B37BC5"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MECIEG(</w:t>
    </w:r>
    <w:proofErr w:type="gramEnd"/>
    <w:r w:rsidR="00D9435B">
      <w:rPr>
        <w:rFonts w:ascii="Arial" w:hAnsi="Arial" w:cs="Arial"/>
        <w:b/>
        <w:sz w:val="36"/>
        <w:szCs w:val="36"/>
        <w:shd w:val="clear" w:color="auto" w:fill="DBE5F1"/>
      </w:rPr>
      <w:t>16)000057</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106582"/>
    <w:multiLevelType w:val="hybridMultilevel"/>
    <w:tmpl w:val="F814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FA13A7"/>
    <w:multiLevelType w:val="hybridMultilevel"/>
    <w:tmpl w:val="C27A4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7"/>
  </w:num>
  <w:num w:numId="4">
    <w:abstractNumId w:val="15"/>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8"/>
  </w:num>
  <w:num w:numId="15">
    <w:abstractNumId w:val="10"/>
  </w:num>
  <w:num w:numId="16">
    <w:abstractNumId w:val="14"/>
  </w:num>
  <w:num w:numId="17">
    <w:abstractNumId w:val="9"/>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428F"/>
    <w:rsid w:val="0002568A"/>
    <w:rsid w:val="000A6B52"/>
    <w:rsid w:val="000C4CB6"/>
    <w:rsid w:val="00134FE8"/>
    <w:rsid w:val="00181471"/>
    <w:rsid w:val="00191D22"/>
    <w:rsid w:val="001A75C8"/>
    <w:rsid w:val="001B09AD"/>
    <w:rsid w:val="001D62B3"/>
    <w:rsid w:val="001E15D8"/>
    <w:rsid w:val="00205C5D"/>
    <w:rsid w:val="00205CF2"/>
    <w:rsid w:val="002200F3"/>
    <w:rsid w:val="002676F5"/>
    <w:rsid w:val="00280156"/>
    <w:rsid w:val="002A3728"/>
    <w:rsid w:val="002D2E6B"/>
    <w:rsid w:val="002F1FCD"/>
    <w:rsid w:val="002F5958"/>
    <w:rsid w:val="00357140"/>
    <w:rsid w:val="00372372"/>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026E2"/>
    <w:rsid w:val="006133B5"/>
    <w:rsid w:val="00620AA5"/>
    <w:rsid w:val="00627948"/>
    <w:rsid w:val="00631480"/>
    <w:rsid w:val="006334F7"/>
    <w:rsid w:val="006661ED"/>
    <w:rsid w:val="00683AE1"/>
    <w:rsid w:val="007017A1"/>
    <w:rsid w:val="00723463"/>
    <w:rsid w:val="0074491A"/>
    <w:rsid w:val="00745E27"/>
    <w:rsid w:val="00776B64"/>
    <w:rsid w:val="007833A7"/>
    <w:rsid w:val="007A3763"/>
    <w:rsid w:val="007A6723"/>
    <w:rsid w:val="007B6346"/>
    <w:rsid w:val="007F1978"/>
    <w:rsid w:val="0082524D"/>
    <w:rsid w:val="00832E39"/>
    <w:rsid w:val="0083399D"/>
    <w:rsid w:val="008745A4"/>
    <w:rsid w:val="00877C83"/>
    <w:rsid w:val="00887234"/>
    <w:rsid w:val="008B51CE"/>
    <w:rsid w:val="008D5477"/>
    <w:rsid w:val="008F7EE0"/>
    <w:rsid w:val="0091037B"/>
    <w:rsid w:val="00912D71"/>
    <w:rsid w:val="00996DA5"/>
    <w:rsid w:val="00A03935"/>
    <w:rsid w:val="00A52B10"/>
    <w:rsid w:val="00A53EDB"/>
    <w:rsid w:val="00A63153"/>
    <w:rsid w:val="00B179D6"/>
    <w:rsid w:val="00B22603"/>
    <w:rsid w:val="00B37BC5"/>
    <w:rsid w:val="00B44A99"/>
    <w:rsid w:val="00B80A28"/>
    <w:rsid w:val="00B837B4"/>
    <w:rsid w:val="00BA5448"/>
    <w:rsid w:val="00BB13A4"/>
    <w:rsid w:val="00BB65DC"/>
    <w:rsid w:val="00BC2F02"/>
    <w:rsid w:val="00BD10FE"/>
    <w:rsid w:val="00BE7AFE"/>
    <w:rsid w:val="00BF503A"/>
    <w:rsid w:val="00C74523"/>
    <w:rsid w:val="00CA135C"/>
    <w:rsid w:val="00CA6465"/>
    <w:rsid w:val="00CC07A5"/>
    <w:rsid w:val="00D11314"/>
    <w:rsid w:val="00D22FCC"/>
    <w:rsid w:val="00D236E0"/>
    <w:rsid w:val="00D252DF"/>
    <w:rsid w:val="00D56DA5"/>
    <w:rsid w:val="00D9435B"/>
    <w:rsid w:val="00DA20CB"/>
    <w:rsid w:val="00DB251F"/>
    <w:rsid w:val="00DB765C"/>
    <w:rsid w:val="00DE0933"/>
    <w:rsid w:val="00E07887"/>
    <w:rsid w:val="00E24490"/>
    <w:rsid w:val="00E26C9A"/>
    <w:rsid w:val="00E85773"/>
    <w:rsid w:val="00EA4F2A"/>
    <w:rsid w:val="00EB16B6"/>
    <w:rsid w:val="00EE7092"/>
    <w:rsid w:val="00F11466"/>
    <w:rsid w:val="00F3029A"/>
    <w:rsid w:val="00F67417"/>
    <w:rsid w:val="00F86884"/>
    <w:rsid w:val="00F9024E"/>
    <w:rsid w:val="00FB3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45086"/>
  <w15:docId w15:val="{33CE60DC-9E6A-486E-B4CA-89E4D61E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TALChar">
    <w:name w:val="TAL Char"/>
    <w:link w:val="TAL"/>
    <w:locked/>
    <w:rsid w:val="00BB13A4"/>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0147-E245-4787-9F33-FC3C3A1E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Paul Trubridge</cp:lastModifiedBy>
  <cp:revision>3</cp:revision>
  <cp:lastPrinted>2010-12-06T15:51:00Z</cp:lastPrinted>
  <dcterms:created xsi:type="dcterms:W3CDTF">2016-07-07T15:22:00Z</dcterms:created>
  <dcterms:modified xsi:type="dcterms:W3CDTF">2016-07-07T15:23:00Z</dcterms:modified>
</cp:coreProperties>
</file>